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EF4683">
        <w:rPr>
          <w:noProof w:val="0"/>
          <w:sz w:val="24"/>
          <w:szCs w:val="24"/>
          <w:lang w:val="sv-SE"/>
        </w:rPr>
        <w:t>86</w:t>
      </w:r>
      <w:r>
        <w:rPr>
          <w:noProof w:val="0"/>
          <w:sz w:val="24"/>
          <w:szCs w:val="24"/>
          <w:lang w:val="sv-SE"/>
        </w:rPr>
        <w:tab/>
      </w:r>
      <w:r w:rsidR="00474883" w:rsidRPr="00474883">
        <w:rPr>
          <w:noProof w:val="0"/>
          <w:sz w:val="24"/>
          <w:szCs w:val="24"/>
          <w:lang w:val="sv-SE"/>
        </w:rPr>
        <w:t>R4-1801945</w:t>
      </w:r>
    </w:p>
    <w:p w:rsidR="00AC1D3D" w:rsidRDefault="00EF4683" w:rsidP="00AC1D3D">
      <w:pPr>
        <w:pStyle w:val="CRCoverPage"/>
        <w:outlineLvl w:val="0"/>
        <w:rPr>
          <w:b/>
          <w:noProof/>
          <w:sz w:val="24"/>
        </w:rPr>
      </w:pPr>
      <w:r>
        <w:rPr>
          <w:b/>
          <w:sz w:val="24"/>
          <w:szCs w:val="24"/>
        </w:rPr>
        <w:t>Athens</w:t>
      </w:r>
      <w:r w:rsidR="00AC1D3D">
        <w:rPr>
          <w:b/>
          <w:noProof/>
          <w:sz w:val="24"/>
        </w:rPr>
        <w:t xml:space="preserve">, </w:t>
      </w:r>
      <w:r>
        <w:rPr>
          <w:b/>
          <w:noProof/>
          <w:sz w:val="24"/>
        </w:rPr>
        <w:t>Greece</w:t>
      </w:r>
      <w:r w:rsidR="00AC1D3D">
        <w:rPr>
          <w:b/>
          <w:noProof/>
          <w:sz w:val="24"/>
        </w:rPr>
        <w:t>, 2</w:t>
      </w:r>
      <w:fldSimple w:instr=" DOCPROPERTY  EndDate  \* MERGEFORMAT ">
        <w:r>
          <w:rPr>
            <w:b/>
            <w:noProof/>
            <w:sz w:val="24"/>
          </w:rPr>
          <w:t>7</w:t>
        </w:r>
        <w:r w:rsidR="00AC1D3D" w:rsidRPr="00B6437C">
          <w:rPr>
            <w:b/>
            <w:noProof/>
            <w:sz w:val="24"/>
            <w:vertAlign w:val="superscript"/>
          </w:rPr>
          <w:t>th</w:t>
        </w:r>
        <w:r w:rsidR="00AC1D3D">
          <w:rPr>
            <w:b/>
            <w:noProof/>
            <w:sz w:val="24"/>
          </w:rPr>
          <w:t xml:space="preserve"> </w:t>
        </w:r>
        <w:r>
          <w:rPr>
            <w:b/>
            <w:noProof/>
            <w:sz w:val="24"/>
          </w:rPr>
          <w:t>February</w:t>
        </w:r>
        <w:r w:rsidR="005A7D39">
          <w:rPr>
            <w:b/>
            <w:noProof/>
            <w:sz w:val="24"/>
          </w:rPr>
          <w:t xml:space="preserve"> - </w:t>
        </w:r>
        <w:r>
          <w:rPr>
            <w:b/>
            <w:noProof/>
            <w:sz w:val="24"/>
          </w:rPr>
          <w:t>3</w:t>
        </w:r>
        <w:r>
          <w:rPr>
            <w:b/>
            <w:noProof/>
            <w:sz w:val="24"/>
            <w:vertAlign w:val="superscript"/>
          </w:rPr>
          <w:t>rd</w:t>
        </w:r>
        <w:r w:rsidR="005A7D39">
          <w:rPr>
            <w:b/>
            <w:noProof/>
            <w:sz w:val="24"/>
          </w:rPr>
          <w:t xml:space="preserve"> </w:t>
        </w:r>
        <w:r>
          <w:rPr>
            <w:b/>
            <w:noProof/>
            <w:sz w:val="24"/>
          </w:rPr>
          <w:t>Mars</w:t>
        </w:r>
        <w:r w:rsidR="00AC1D3D" w:rsidRPr="00BA51D9">
          <w:rPr>
            <w:b/>
            <w:noProof/>
            <w:sz w:val="24"/>
          </w:rPr>
          <w:t xml:space="preserve"> </w:t>
        </w:r>
        <w:r w:rsidR="00AC1D3D">
          <w:rPr>
            <w:b/>
            <w:noProof/>
            <w:sz w:val="24"/>
          </w:rPr>
          <w:t>201</w:t>
        </w:r>
        <w:r>
          <w:rPr>
            <w:b/>
            <w:noProof/>
            <w:sz w:val="24"/>
          </w:rPr>
          <w:t>8</w:t>
        </w:r>
      </w:fldSimple>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474883">
        <w:rPr>
          <w:rFonts w:ascii="Arial" w:hAnsi="Arial"/>
          <w:sz w:val="24"/>
        </w:rPr>
        <w:t>5.7</w:t>
      </w:r>
      <w:bookmarkStart w:id="0" w:name="_GoBack"/>
      <w:bookmarkEnd w:id="0"/>
      <w:r w:rsidR="00D24D0E">
        <w:rPr>
          <w:rFonts w:ascii="Arial" w:hAnsi="Arial"/>
          <w:sz w:val="24"/>
        </w:rPr>
        <w:t>.1</w:t>
      </w:r>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335F9A">
        <w:rPr>
          <w:rFonts w:ascii="Arial" w:hAnsi="Arial"/>
          <w:sz w:val="24"/>
        </w:rPr>
        <w:t>IBE</w:t>
      </w:r>
      <w:r w:rsidR="004F7EE5">
        <w:rPr>
          <w:rFonts w:ascii="Arial" w:hAnsi="Arial"/>
          <w:sz w:val="24"/>
        </w:rPr>
        <w:t xml:space="preserve"> Requirements for V2X</w:t>
      </w:r>
      <w:r w:rsidR="00335F9A">
        <w:rPr>
          <w:rFonts w:ascii="Arial" w:hAnsi="Arial"/>
          <w:sz w:val="24"/>
        </w:rPr>
        <w:t xml:space="preserve"> Service Waveforms</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CF70A1" w:rsidRDefault="00335F9A" w:rsidP="00CF70A1">
      <w:pPr>
        <w:pStyle w:val="B1"/>
        <w:ind w:left="0" w:firstLine="0"/>
      </w:pPr>
      <w:r>
        <w:t>In the previous RAN4 meetings, concern has been raised about possible IMD issue for V2X waveforms in the CA and multiple carriers operation scenarios. In [</w:t>
      </w:r>
      <w:r w:rsidR="00622304">
        <w:t>2</w:t>
      </w:r>
      <w:r>
        <w:t xml:space="preserve">], </w:t>
      </w:r>
      <w:r w:rsidR="00061E9B">
        <w:t xml:space="preserve">a </w:t>
      </w:r>
      <w:r w:rsidR="00EE36C2">
        <w:t>way forw</w:t>
      </w:r>
      <w:r w:rsidR="00061E9B">
        <w:t>a</w:t>
      </w:r>
      <w:r w:rsidR="00EE36C2">
        <w:t>r</w:t>
      </w:r>
      <w:r w:rsidR="00061E9B">
        <w:t>d</w:t>
      </w:r>
      <w:r>
        <w:t xml:space="preserve"> has been agreed as:</w:t>
      </w:r>
    </w:p>
    <w:p w:rsidR="00933E72" w:rsidRPr="00061E9B" w:rsidRDefault="00A70E29" w:rsidP="00061E9B">
      <w:pPr>
        <w:pStyle w:val="B1"/>
        <w:numPr>
          <w:ilvl w:val="0"/>
          <w:numId w:val="45"/>
        </w:numPr>
        <w:rPr>
          <w:lang w:val="en-US"/>
        </w:rPr>
      </w:pPr>
      <w:r w:rsidRPr="00061E9B">
        <w:t>For multiple transmissions in multiple carriers, composite IBE requirement as below can be as a starting point for the case PSSCH and PSCCH are adjacent in each CC:</w:t>
      </w:r>
    </w:p>
    <w:p w:rsidR="00933E72" w:rsidRPr="00061E9B" w:rsidRDefault="00A70E29" w:rsidP="00061E9B">
      <w:pPr>
        <w:pStyle w:val="B1"/>
        <w:numPr>
          <w:ilvl w:val="1"/>
          <w:numId w:val="45"/>
        </w:numPr>
        <w:rPr>
          <w:lang w:val="en-US"/>
        </w:rPr>
      </w:pPr>
      <w:r w:rsidRPr="00061E9B">
        <w:t xml:space="preserve">For V2X intra-band contiguous multi-carrier operation, the in-band emission values (General, IQ Image or Carrier leakage) of each channel is calculated separately as </w:t>
      </w:r>
      <w:r w:rsidRPr="00061E9B">
        <w:rPr>
          <w:i/>
          <w:iCs/>
        </w:rPr>
        <w:t>P</w:t>
      </w:r>
      <w:r w:rsidRPr="00061E9B">
        <w:rPr>
          <w:i/>
          <w:iCs/>
          <w:vertAlign w:val="subscript"/>
        </w:rPr>
        <w:t>general, PSSCH,c(i)</w:t>
      </w:r>
      <w:r w:rsidRPr="00061E9B">
        <w:t xml:space="preserve">, </w:t>
      </w:r>
      <w:r w:rsidRPr="00061E9B">
        <w:rPr>
          <w:i/>
          <w:iCs/>
        </w:rPr>
        <w:t>P</w:t>
      </w:r>
      <w:r w:rsidRPr="00061E9B">
        <w:rPr>
          <w:i/>
          <w:iCs/>
          <w:vertAlign w:val="subscript"/>
        </w:rPr>
        <w:t>IQ, PSSCH,c(i)</w:t>
      </w:r>
      <w:r w:rsidRPr="00061E9B">
        <w:t xml:space="preserve">, </w:t>
      </w:r>
      <w:r w:rsidRPr="00061E9B">
        <w:rPr>
          <w:i/>
          <w:iCs/>
        </w:rPr>
        <w:t>P</w:t>
      </w:r>
      <w:r w:rsidRPr="00061E9B">
        <w:rPr>
          <w:i/>
          <w:iCs/>
          <w:vertAlign w:val="subscript"/>
        </w:rPr>
        <w:t>LO, PSSCH,c(i)</w:t>
      </w:r>
      <w:r w:rsidRPr="00061E9B">
        <w:t xml:space="preserve">, </w:t>
      </w:r>
      <w:r w:rsidRPr="00061E9B">
        <w:rPr>
          <w:i/>
          <w:iCs/>
        </w:rPr>
        <w:t>P</w:t>
      </w:r>
      <w:r w:rsidRPr="00061E9B">
        <w:rPr>
          <w:i/>
          <w:iCs/>
          <w:vertAlign w:val="subscript"/>
        </w:rPr>
        <w:t>general, PSCCH,c(i)</w:t>
      </w:r>
      <w:r w:rsidRPr="00061E9B">
        <w:t xml:space="preserve">, </w:t>
      </w:r>
      <w:r w:rsidRPr="00061E9B">
        <w:rPr>
          <w:i/>
          <w:iCs/>
        </w:rPr>
        <w:t>P</w:t>
      </w:r>
      <w:r w:rsidRPr="00061E9B">
        <w:rPr>
          <w:i/>
          <w:iCs/>
          <w:vertAlign w:val="subscript"/>
        </w:rPr>
        <w:t>IQ, PSCCH,c(i)</w:t>
      </w:r>
      <w:r w:rsidRPr="00061E9B">
        <w:t xml:space="preserve">, </w:t>
      </w:r>
      <w:r w:rsidRPr="00061E9B">
        <w:rPr>
          <w:i/>
          <w:iCs/>
        </w:rPr>
        <w:t>P</w:t>
      </w:r>
      <w:r w:rsidRPr="00061E9B">
        <w:rPr>
          <w:i/>
          <w:iCs/>
          <w:vertAlign w:val="subscript"/>
        </w:rPr>
        <w:t xml:space="preserve">LO, PSCCH,c(i) </w:t>
      </w:r>
      <w:r w:rsidRPr="00061E9B">
        <w:t xml:space="preserve">for each carrier respectively. In-band emissions combined limit is evaluated in each non-allocated RB. For each such RB, the minimum requirement is calculated as the </w:t>
      </w:r>
      <w:r w:rsidRPr="00061E9B">
        <w:rPr>
          <w:i/>
          <w:iCs/>
        </w:rPr>
        <w:t>P</w:t>
      </w:r>
      <w:r w:rsidRPr="00061E9B">
        <w:rPr>
          <w:i/>
          <w:iCs/>
          <w:vertAlign w:val="subscript"/>
        </w:rPr>
        <w:t>sumIBE</w:t>
      </w:r>
      <w:r w:rsidRPr="00061E9B">
        <w:t>.</w:t>
      </w:r>
      <w:r w:rsidRPr="00061E9B">
        <w:rPr>
          <w:i/>
          <w:iCs/>
          <w:vertAlign w:val="subscript"/>
        </w:rPr>
        <w:t>CA</w:t>
      </w:r>
      <w:r w:rsidRPr="00061E9B">
        <w:rPr>
          <w:i/>
          <w:iCs/>
        </w:rPr>
        <w:t xml:space="preserve">, </w:t>
      </w:r>
      <w:r w:rsidRPr="00061E9B">
        <w:t xml:space="preserve">where </w:t>
      </w:r>
      <w:r w:rsidRPr="00061E9B">
        <w:rPr>
          <w:i/>
          <w:iCs/>
        </w:rPr>
        <w:t>P</w:t>
      </w:r>
      <w:r w:rsidRPr="00061E9B">
        <w:rPr>
          <w:i/>
          <w:iCs/>
          <w:vertAlign w:val="subscript"/>
        </w:rPr>
        <w:t>sumIBE</w:t>
      </w:r>
      <w:r w:rsidRPr="00061E9B">
        <w:t>.</w:t>
      </w:r>
      <w:r w:rsidRPr="00061E9B">
        <w:rPr>
          <w:i/>
          <w:iCs/>
          <w:vertAlign w:val="subscript"/>
        </w:rPr>
        <w:t>CA</w:t>
      </w:r>
      <w:r w:rsidRPr="00061E9B">
        <w:t xml:space="preserve"> is the linear sum of </w:t>
      </w:r>
      <w:r w:rsidRPr="00061E9B">
        <w:rPr>
          <w:i/>
          <w:iCs/>
        </w:rPr>
        <w:t>P</w:t>
      </w:r>
      <w:r w:rsidRPr="00061E9B">
        <w:rPr>
          <w:i/>
          <w:iCs/>
          <w:vertAlign w:val="subscript"/>
        </w:rPr>
        <w:t>general, PSSCH,c(i)</w:t>
      </w:r>
      <w:r w:rsidRPr="00061E9B">
        <w:t xml:space="preserve">, </w:t>
      </w:r>
      <w:r w:rsidRPr="00061E9B">
        <w:rPr>
          <w:i/>
          <w:iCs/>
        </w:rPr>
        <w:t>P</w:t>
      </w:r>
      <w:r w:rsidRPr="00061E9B">
        <w:rPr>
          <w:i/>
          <w:iCs/>
          <w:vertAlign w:val="subscript"/>
        </w:rPr>
        <w:t>IQ, PSSCH,c(i)</w:t>
      </w:r>
      <w:r w:rsidRPr="00061E9B">
        <w:t xml:space="preserve">, </w:t>
      </w:r>
      <w:r w:rsidRPr="00061E9B">
        <w:rPr>
          <w:i/>
          <w:iCs/>
        </w:rPr>
        <w:t>P</w:t>
      </w:r>
      <w:r w:rsidRPr="00061E9B">
        <w:rPr>
          <w:i/>
          <w:iCs/>
          <w:vertAlign w:val="subscript"/>
        </w:rPr>
        <w:t>LO, PSSCH,c(i)</w:t>
      </w:r>
      <w:r w:rsidRPr="00061E9B">
        <w:t xml:space="preserve">, </w:t>
      </w:r>
      <w:r w:rsidRPr="00061E9B">
        <w:rPr>
          <w:i/>
          <w:iCs/>
        </w:rPr>
        <w:t>P</w:t>
      </w:r>
      <w:r w:rsidRPr="00061E9B">
        <w:rPr>
          <w:i/>
          <w:iCs/>
          <w:vertAlign w:val="subscript"/>
        </w:rPr>
        <w:t>general, PSCCH,c(i)</w:t>
      </w:r>
      <w:r w:rsidRPr="00061E9B">
        <w:t xml:space="preserve">, </w:t>
      </w:r>
      <w:r w:rsidRPr="00061E9B">
        <w:rPr>
          <w:i/>
          <w:iCs/>
        </w:rPr>
        <w:t>P</w:t>
      </w:r>
      <w:r w:rsidRPr="00061E9B">
        <w:rPr>
          <w:i/>
          <w:iCs/>
          <w:vertAlign w:val="subscript"/>
        </w:rPr>
        <w:t>IQ, PSCCH,c(i)</w:t>
      </w:r>
      <w:r w:rsidRPr="00061E9B">
        <w:t xml:space="preserve">, </w:t>
      </w:r>
      <w:r w:rsidRPr="00061E9B">
        <w:rPr>
          <w:i/>
          <w:iCs/>
        </w:rPr>
        <w:t>P</w:t>
      </w:r>
      <w:r w:rsidRPr="00061E9B">
        <w:rPr>
          <w:i/>
          <w:iCs/>
          <w:vertAlign w:val="subscript"/>
        </w:rPr>
        <w:t xml:space="preserve">LO, PSCCH,c(i) </w:t>
      </w:r>
      <w:r w:rsidRPr="00061E9B">
        <w:t>for all carriers.</w:t>
      </w:r>
    </w:p>
    <w:p w:rsidR="00933E72" w:rsidRDefault="00A70E29" w:rsidP="00061E9B">
      <w:pPr>
        <w:pStyle w:val="B1"/>
        <w:numPr>
          <w:ilvl w:val="1"/>
          <w:numId w:val="45"/>
        </w:numPr>
        <w:rPr>
          <w:lang w:val="en-US"/>
        </w:rPr>
      </w:pPr>
      <w:r w:rsidRPr="00061E9B">
        <w:rPr>
          <w:lang w:val="en-US"/>
        </w:rPr>
        <w:t>Above requirement is a general IBE requirement without consideration of IMD exceptions.</w:t>
      </w:r>
    </w:p>
    <w:p w:rsidR="00933E72" w:rsidRPr="00061E9B" w:rsidRDefault="00A70E29" w:rsidP="00061E9B">
      <w:pPr>
        <w:pStyle w:val="B1"/>
        <w:numPr>
          <w:ilvl w:val="0"/>
          <w:numId w:val="45"/>
        </w:numPr>
      </w:pPr>
      <w:r w:rsidRPr="00061E9B">
        <w:t>The down selection of below two solutions needs to be decided in next RAN4 meeting</w:t>
      </w:r>
    </w:p>
    <w:p w:rsidR="00933E72" w:rsidRPr="00061E9B" w:rsidRDefault="00A70E29" w:rsidP="00061E9B">
      <w:pPr>
        <w:pStyle w:val="B1"/>
        <w:numPr>
          <w:ilvl w:val="1"/>
          <w:numId w:val="45"/>
        </w:numPr>
      </w:pPr>
      <w:r w:rsidRPr="00061E9B">
        <w:t>Solution 1: Specify in-band emission requirement with exceptions on IMD issues.</w:t>
      </w:r>
    </w:p>
    <w:p w:rsidR="00061E9B" w:rsidRPr="00061E9B" w:rsidRDefault="00A70E29" w:rsidP="00061E9B">
      <w:pPr>
        <w:pStyle w:val="B1"/>
        <w:numPr>
          <w:ilvl w:val="1"/>
          <w:numId w:val="45"/>
        </w:numPr>
      </w:pPr>
      <w:r w:rsidRPr="00061E9B">
        <w:t>Solution 2: Specify in-band emission requirement without considering IMD exceptions and apply MPR for IMD product.</w:t>
      </w:r>
    </w:p>
    <w:p w:rsidR="00061E9B" w:rsidRDefault="00061E9B" w:rsidP="00061E9B">
      <w:pPr>
        <w:pStyle w:val="B1"/>
        <w:ind w:left="0" w:firstLine="0"/>
      </w:pPr>
      <w:r w:rsidRPr="00061E9B">
        <w:rPr>
          <w:lang w:val="en-US"/>
        </w:rPr>
        <w:t xml:space="preserve"> </w:t>
      </w:r>
      <w:r w:rsidR="00335F9A">
        <w:t xml:space="preserve">In this paper, we provide MPR simulation results for V2X CA waveforms with adjacent control and data clusters in each carrier, taking this working assumption into account. </w:t>
      </w:r>
    </w:p>
    <w:p w:rsidR="00335F9A" w:rsidRDefault="00335F9A" w:rsidP="00061E9B">
      <w:pPr>
        <w:pStyle w:val="B1"/>
        <w:ind w:left="0" w:firstLine="0"/>
      </w:pPr>
      <w:r>
        <w:t xml:space="preserve">We also further discuss the similarity of this problem with the problem of defining IBE requirements for V2X waveforms with non-adjacent control and data cluster. As a result, the same principle here (V2X CA waveform) can be reused there (V2X waveforms with non-adjacent control and data). </w:t>
      </w:r>
    </w:p>
    <w:p w:rsidR="00335F9A" w:rsidRDefault="00335F9A" w:rsidP="00CF70A1">
      <w:pPr>
        <w:pStyle w:val="B1"/>
        <w:ind w:left="0" w:firstLine="0"/>
      </w:pPr>
      <w:r>
        <w:t>The paper is structure as follows:</w:t>
      </w:r>
    </w:p>
    <w:p w:rsidR="00335F9A" w:rsidRDefault="00335F9A" w:rsidP="00335F9A">
      <w:pPr>
        <w:pStyle w:val="B1"/>
        <w:numPr>
          <w:ilvl w:val="0"/>
          <w:numId w:val="44"/>
        </w:numPr>
      </w:pPr>
      <w:r>
        <w:t>Section 2 discuss the MPR simulation results. This includes MPR for QPSK, 16QAM and 64 QAM modulation order.</w:t>
      </w:r>
    </w:p>
    <w:p w:rsidR="00335F9A" w:rsidRDefault="00335F9A" w:rsidP="00335F9A">
      <w:pPr>
        <w:pStyle w:val="B1"/>
        <w:numPr>
          <w:ilvl w:val="0"/>
          <w:numId w:val="44"/>
        </w:numPr>
      </w:pPr>
      <w:r>
        <w:t>Section 3 discuss the IBE requirements for V2X waveforms with non-adjacent control and data.</w:t>
      </w:r>
    </w:p>
    <w:p w:rsidR="00AC1D3D" w:rsidRDefault="00335F9A" w:rsidP="00AC1D3D">
      <w:pPr>
        <w:pStyle w:val="Heading1"/>
      </w:pPr>
      <w:r>
        <w:t>MPR Simulation Result</w:t>
      </w:r>
    </w:p>
    <w:p w:rsidR="008D5D39" w:rsidRDefault="008D5D39" w:rsidP="0096454F">
      <w:pPr>
        <w:pStyle w:val="Heading2"/>
        <w:numPr>
          <w:ilvl w:val="0"/>
          <w:numId w:val="0"/>
        </w:numPr>
      </w:pPr>
    </w:p>
    <w:p w:rsidR="0096454F" w:rsidRDefault="00061E9B" w:rsidP="00061E9B">
      <w:pPr>
        <w:rPr>
          <w:lang w:val="en-GB"/>
        </w:rPr>
      </w:pPr>
      <w:r>
        <w:rPr>
          <w:lang w:val="en-GB"/>
        </w:rPr>
        <w:t xml:space="preserve">The result for QPSK </w:t>
      </w:r>
      <w:r w:rsidR="0096454F">
        <w:rPr>
          <w:lang w:val="en-GB"/>
        </w:rPr>
        <w:t>and 16QAM are in Figure 1 and 2, respectively.</w:t>
      </w:r>
    </w:p>
    <w:p w:rsidR="00061E9B" w:rsidRDefault="0096454F" w:rsidP="00061E9B">
      <w:pPr>
        <w:rPr>
          <w:lang w:val="en-GB"/>
        </w:rPr>
      </w:pPr>
      <w:r>
        <w:rPr>
          <w:lang w:val="en-GB"/>
        </w:rPr>
        <w:lastRenderedPageBreak/>
        <w:t>We observe that</w:t>
      </w:r>
      <w:r w:rsidR="00061E9B">
        <w:rPr>
          <w:lang w:val="en-GB"/>
        </w:rPr>
        <w:t xml:space="preserve"> </w:t>
      </w:r>
      <w:r>
        <w:rPr>
          <w:lang w:val="en-GB"/>
        </w:rPr>
        <w:t>w</w:t>
      </w:r>
      <w:r w:rsidR="00061E9B">
        <w:rPr>
          <w:lang w:val="en-GB"/>
        </w:rPr>
        <w:t>hen IBE condition is checked, the MPR for waveforms with smaller number of allocated RBs has much smaller spread. This is the expected behaviour since there are waveforms that have IMD fall in the channel bandwidth. Such waveforms do not require much back off before to meet the SEM and ACLR requirement, but now need extra back-off to meet also the IBE requirement.</w:t>
      </w:r>
    </w:p>
    <w:p w:rsidR="00061E9B" w:rsidRDefault="00061E9B" w:rsidP="00061E9B">
      <w:pPr>
        <w:rPr>
          <w:lang w:val="en-GB"/>
        </w:rPr>
      </w:pPr>
      <w:r>
        <w:rPr>
          <w:lang w:val="en-GB"/>
        </w:rPr>
        <w:t xml:space="preserve">Overall, as the specified MPR is the worst case value for each number of allocated RB, the final MPR value does not change very much. Based on the simulation result, we propose the following formula for MPR of 2 adjacent carriers CA waveforms (for that case control and data adjacent) with QPSK modulation order: </w:t>
      </w:r>
    </w:p>
    <w:p w:rsidR="00061E9B" w:rsidRPr="00403CA3" w:rsidRDefault="00061E9B" w:rsidP="00061E9B">
      <w:pPr>
        <w:ind w:firstLine="3261"/>
        <w:rPr>
          <w:rFonts w:eastAsia="SimSun"/>
          <w:lang w:eastAsia="zh-CN"/>
        </w:rPr>
      </w:pPr>
      <w:r w:rsidRPr="005D7A6F">
        <w:t>M</w:t>
      </w:r>
      <w:r w:rsidRPr="005D7A6F">
        <w:rPr>
          <w:vertAlign w:val="subscript"/>
        </w:rPr>
        <w:t>A</w:t>
      </w:r>
      <w:r w:rsidR="0096454F">
        <w:t xml:space="preserve"> =      </w:t>
      </w:r>
      <w:r>
        <w:t>6.5</w:t>
      </w:r>
      <w:r w:rsidR="0096454F">
        <w:tab/>
      </w:r>
      <w:r w:rsidR="0096454F">
        <w:tab/>
        <w:t xml:space="preserve">                    </w:t>
      </w:r>
      <w:r>
        <w:t>; 0 ≤ A &lt; 0.</w:t>
      </w:r>
      <w:r>
        <w:rPr>
          <w:rFonts w:eastAsia="SimSun" w:hint="eastAsia"/>
          <w:lang w:eastAsia="zh-CN"/>
        </w:rPr>
        <w:t>1</w:t>
      </w:r>
    </w:p>
    <w:p w:rsidR="00061E9B" w:rsidRPr="00403CA3" w:rsidRDefault="00061E9B" w:rsidP="00061E9B">
      <w:pPr>
        <w:ind w:firstLine="3969"/>
        <w:rPr>
          <w:rFonts w:eastAsia="SimSun"/>
          <w:lang w:eastAsia="zh-CN"/>
        </w:rPr>
      </w:pPr>
      <w:r>
        <w:rPr>
          <w:rFonts w:eastAsia="SimSun" w:hint="eastAsia"/>
          <w:lang w:eastAsia="zh-CN"/>
        </w:rPr>
        <w:t>8.5</w:t>
      </w:r>
      <w:r>
        <w:t xml:space="preserve"> - </w:t>
      </w:r>
      <w:r>
        <w:rPr>
          <w:rFonts w:eastAsia="SimSun" w:hint="eastAsia"/>
          <w:lang w:eastAsia="zh-CN"/>
        </w:rPr>
        <w:t>2</w:t>
      </w:r>
      <w:r w:rsidR="0096454F">
        <w:t xml:space="preserve">0A </w:t>
      </w:r>
      <w:r w:rsidR="0096454F">
        <w:tab/>
      </w:r>
      <w:r w:rsidR="0096454F">
        <w:tab/>
        <w:t xml:space="preserve">      </w:t>
      </w:r>
      <w:r w:rsidRPr="005D7A6F">
        <w:t>; 0.</w:t>
      </w:r>
      <w:r>
        <w:rPr>
          <w:rFonts w:eastAsia="SimSun" w:hint="eastAsia"/>
          <w:lang w:eastAsia="zh-CN"/>
        </w:rPr>
        <w:t xml:space="preserve">1 </w:t>
      </w:r>
      <w:r>
        <w:t>≤ A &lt; 0.</w:t>
      </w:r>
      <w:r>
        <w:rPr>
          <w:rFonts w:eastAsia="SimSun" w:hint="eastAsia"/>
          <w:lang w:eastAsia="zh-CN"/>
        </w:rPr>
        <w:t>2</w:t>
      </w:r>
    </w:p>
    <w:p w:rsidR="00061E9B" w:rsidRPr="00403CA3" w:rsidRDefault="00061E9B" w:rsidP="00061E9B">
      <w:pPr>
        <w:ind w:firstLine="3969"/>
        <w:rPr>
          <w:rFonts w:eastAsia="SimSun"/>
          <w:lang w:eastAsia="zh-CN"/>
        </w:rPr>
      </w:pPr>
      <w:r>
        <w:rPr>
          <w:rFonts w:eastAsia="SimSun" w:hint="eastAsia"/>
          <w:lang w:eastAsia="zh-CN"/>
        </w:rPr>
        <w:t>5.</w:t>
      </w:r>
      <w:r w:rsidR="0096454F">
        <w:rPr>
          <w:rFonts w:eastAsia="SimSun"/>
          <w:lang w:eastAsia="zh-CN"/>
        </w:rPr>
        <w:t>3</w:t>
      </w:r>
      <w:r>
        <w:t xml:space="preserve"> – </w:t>
      </w:r>
      <w:r w:rsidR="0096454F">
        <w:rPr>
          <w:rFonts w:eastAsia="SimSun" w:hint="eastAsia"/>
          <w:lang w:eastAsia="zh-CN"/>
        </w:rPr>
        <w:t>4</w:t>
      </w:r>
      <w:r>
        <w:t>A</w:t>
      </w:r>
      <w:r>
        <w:tab/>
      </w:r>
      <w:r>
        <w:tab/>
      </w:r>
      <w:r w:rsidR="0096454F">
        <w:t xml:space="preserve">      </w:t>
      </w:r>
      <w:r>
        <w:t>; 0.</w:t>
      </w:r>
      <w:r>
        <w:rPr>
          <w:rFonts w:eastAsia="SimSun" w:hint="eastAsia"/>
          <w:lang w:eastAsia="zh-CN"/>
        </w:rPr>
        <w:t xml:space="preserve">2 </w:t>
      </w:r>
      <w:r>
        <w:t>≤ A &lt; 0.</w:t>
      </w:r>
      <w:r w:rsidR="0096454F">
        <w:rPr>
          <w:rFonts w:eastAsia="SimSun" w:hint="eastAsia"/>
          <w:lang w:eastAsia="zh-CN"/>
        </w:rPr>
        <w:t>7</w:t>
      </w:r>
    </w:p>
    <w:p w:rsidR="00061E9B" w:rsidRDefault="0096454F" w:rsidP="00061E9B">
      <w:pPr>
        <w:ind w:firstLine="3969"/>
      </w:pPr>
      <w:r>
        <w:rPr>
          <w:rFonts w:eastAsia="SimSun" w:hint="eastAsia"/>
          <w:lang w:eastAsia="zh-CN"/>
        </w:rPr>
        <w:t>2.5</w:t>
      </w:r>
      <w:r w:rsidR="00061E9B" w:rsidRPr="005D7A6F">
        <w:tab/>
      </w:r>
      <w:r w:rsidR="00061E9B" w:rsidRPr="005D7A6F">
        <w:tab/>
      </w:r>
      <w:r w:rsidR="00061E9B" w:rsidRPr="005D7A6F">
        <w:tab/>
      </w:r>
      <w:r w:rsidR="00061E9B">
        <w:rPr>
          <w:rFonts w:eastAsia="SimSun" w:hint="eastAsia"/>
          <w:lang w:eastAsia="zh-CN"/>
        </w:rPr>
        <w:t xml:space="preserve">      </w:t>
      </w:r>
      <w:r w:rsidR="00061E9B" w:rsidRPr="005D7A6F">
        <w:t>; 0.</w:t>
      </w:r>
      <w:r>
        <w:rPr>
          <w:rFonts w:eastAsia="SimSun" w:hint="eastAsia"/>
          <w:lang w:eastAsia="zh-CN"/>
        </w:rPr>
        <w:t>7</w:t>
      </w:r>
      <w:r w:rsidR="00061E9B">
        <w:t xml:space="preserve">≤ A ≤ </w:t>
      </w:r>
      <w:r w:rsidR="00061E9B">
        <w:rPr>
          <w:rFonts w:eastAsia="SimSun" w:hint="eastAsia"/>
          <w:lang w:eastAsia="zh-CN"/>
        </w:rPr>
        <w:t>1</w:t>
      </w:r>
      <w:r>
        <w:t>.</w:t>
      </w:r>
    </w:p>
    <w:p w:rsidR="0096454F" w:rsidRDefault="0096454F" w:rsidP="0096454F">
      <w:r>
        <w:t>The corresponding formula for 16QAM modulation order is:</w:t>
      </w:r>
    </w:p>
    <w:p w:rsidR="0096454F" w:rsidRPr="00403CA3" w:rsidRDefault="0096454F" w:rsidP="0096454F">
      <w:pPr>
        <w:ind w:firstLine="3261"/>
        <w:rPr>
          <w:rFonts w:eastAsia="SimSun"/>
          <w:lang w:eastAsia="zh-CN"/>
        </w:rPr>
      </w:pPr>
      <w:r w:rsidRPr="005D7A6F">
        <w:t>M</w:t>
      </w:r>
      <w:r w:rsidRPr="005D7A6F">
        <w:rPr>
          <w:vertAlign w:val="subscript"/>
        </w:rPr>
        <w:t>A</w:t>
      </w:r>
      <w:r>
        <w:t xml:space="preserve"> =      6.5</w:t>
      </w:r>
      <w:r>
        <w:tab/>
      </w:r>
      <w:r>
        <w:tab/>
        <w:t xml:space="preserve">                    ; 0 ≤ A &lt; 0.</w:t>
      </w:r>
      <w:r>
        <w:rPr>
          <w:rFonts w:eastAsia="SimSun" w:hint="eastAsia"/>
          <w:lang w:eastAsia="zh-CN"/>
        </w:rPr>
        <w:t>1</w:t>
      </w:r>
    </w:p>
    <w:p w:rsidR="0096454F" w:rsidRPr="00403CA3" w:rsidRDefault="0096454F" w:rsidP="0096454F">
      <w:pPr>
        <w:ind w:firstLine="3969"/>
        <w:rPr>
          <w:rFonts w:eastAsia="SimSun"/>
          <w:lang w:eastAsia="zh-CN"/>
        </w:rPr>
      </w:pPr>
      <w:r>
        <w:rPr>
          <w:rFonts w:eastAsia="SimSun" w:hint="eastAsia"/>
          <w:lang w:eastAsia="zh-CN"/>
        </w:rPr>
        <w:t>8</w:t>
      </w:r>
      <w:r>
        <w:t xml:space="preserve"> - </w:t>
      </w:r>
      <w:r>
        <w:rPr>
          <w:rFonts w:eastAsia="SimSun"/>
          <w:lang w:eastAsia="zh-CN"/>
        </w:rPr>
        <w:t>15</w:t>
      </w:r>
      <w:r>
        <w:t xml:space="preserve">A </w:t>
      </w:r>
      <w:r>
        <w:tab/>
      </w:r>
      <w:r>
        <w:tab/>
        <w:t xml:space="preserve">      </w:t>
      </w:r>
      <w:r w:rsidRPr="005D7A6F">
        <w:t>; 0.</w:t>
      </w:r>
      <w:r>
        <w:rPr>
          <w:rFonts w:eastAsia="SimSun" w:hint="eastAsia"/>
          <w:lang w:eastAsia="zh-CN"/>
        </w:rPr>
        <w:t xml:space="preserve">1 </w:t>
      </w:r>
      <w:r>
        <w:t>≤ A &lt; 0.</w:t>
      </w:r>
      <w:r>
        <w:rPr>
          <w:rFonts w:eastAsia="SimSun" w:hint="eastAsia"/>
          <w:lang w:eastAsia="zh-CN"/>
        </w:rPr>
        <w:t>2</w:t>
      </w:r>
    </w:p>
    <w:p w:rsidR="0096454F" w:rsidRPr="00403CA3" w:rsidRDefault="0096454F" w:rsidP="0096454F">
      <w:pPr>
        <w:ind w:firstLine="3969"/>
        <w:rPr>
          <w:rFonts w:eastAsia="SimSun"/>
          <w:lang w:eastAsia="zh-CN"/>
        </w:rPr>
      </w:pPr>
      <w:r>
        <w:rPr>
          <w:rFonts w:eastAsia="SimSun" w:hint="eastAsia"/>
          <w:lang w:eastAsia="zh-CN"/>
        </w:rPr>
        <w:t>5.</w:t>
      </w:r>
      <w:r>
        <w:rPr>
          <w:rFonts w:eastAsia="SimSun"/>
          <w:lang w:eastAsia="zh-CN"/>
        </w:rPr>
        <w:t>8</w:t>
      </w:r>
      <w:r>
        <w:t xml:space="preserve"> – </w:t>
      </w:r>
      <w:r>
        <w:rPr>
          <w:rFonts w:eastAsia="SimSun" w:hint="eastAsia"/>
          <w:lang w:eastAsia="zh-CN"/>
        </w:rPr>
        <w:t>4</w:t>
      </w:r>
      <w:r>
        <w:t>A</w:t>
      </w:r>
      <w:r>
        <w:tab/>
      </w:r>
      <w:r>
        <w:tab/>
        <w:t xml:space="preserve">      ; 0.</w:t>
      </w:r>
      <w:r>
        <w:rPr>
          <w:rFonts w:eastAsia="SimSun" w:hint="eastAsia"/>
          <w:lang w:eastAsia="zh-CN"/>
        </w:rPr>
        <w:t xml:space="preserve">2 </w:t>
      </w:r>
      <w:r>
        <w:t>≤ A &lt; 0.</w:t>
      </w:r>
      <w:r>
        <w:rPr>
          <w:rFonts w:eastAsia="SimSun" w:hint="eastAsia"/>
          <w:lang w:eastAsia="zh-CN"/>
        </w:rPr>
        <w:t>7</w:t>
      </w:r>
    </w:p>
    <w:p w:rsidR="0096454F" w:rsidRDefault="0096454F" w:rsidP="0096454F">
      <w:pPr>
        <w:ind w:firstLine="3969"/>
      </w:pPr>
      <w:r>
        <w:rPr>
          <w:rFonts w:eastAsia="SimSun"/>
          <w:lang w:eastAsia="zh-CN"/>
        </w:rPr>
        <w:t>3</w:t>
      </w:r>
      <w:r w:rsidRPr="005D7A6F">
        <w:tab/>
      </w:r>
      <w:r w:rsidRPr="005D7A6F">
        <w:tab/>
      </w:r>
      <w:r w:rsidRPr="005D7A6F">
        <w:tab/>
      </w:r>
      <w:r>
        <w:rPr>
          <w:rFonts w:eastAsia="SimSun" w:hint="eastAsia"/>
          <w:lang w:eastAsia="zh-CN"/>
        </w:rPr>
        <w:t xml:space="preserve">      </w:t>
      </w:r>
      <w:r w:rsidRPr="005D7A6F">
        <w:t>; 0.</w:t>
      </w:r>
      <w:r>
        <w:rPr>
          <w:rFonts w:eastAsia="SimSun" w:hint="eastAsia"/>
          <w:lang w:eastAsia="zh-CN"/>
        </w:rPr>
        <w:t>7</w:t>
      </w:r>
      <w:r>
        <w:t xml:space="preserve">≤ A ≤ </w:t>
      </w:r>
      <w:r>
        <w:rPr>
          <w:rFonts w:eastAsia="SimSun" w:hint="eastAsia"/>
          <w:lang w:eastAsia="zh-CN"/>
        </w:rPr>
        <w:t>1</w:t>
      </w:r>
      <w:r>
        <w:t>.</w:t>
      </w:r>
    </w:p>
    <w:p w:rsidR="0096454F" w:rsidRDefault="0096454F" w:rsidP="0096454F">
      <w:r>
        <w:t>Note that the required MPR for 16QAM is a bit higher is mostly due to tighter IBE requirement. Without checking IBE requirement, we observe that the required MPR for QPSK and 16QAM is similar.</w:t>
      </w:r>
    </w:p>
    <w:p w:rsidR="0096454F" w:rsidRPr="005D7A6F" w:rsidRDefault="0096454F" w:rsidP="0096454F">
      <w:r>
        <w:t>The piecewise linear functions proposed above are also plotted in Figure 1 and 2 for visualization.</w:t>
      </w:r>
    </w:p>
    <w:p w:rsidR="00061E9B" w:rsidRPr="00622304" w:rsidRDefault="0096454F" w:rsidP="00061E9B">
      <w:pPr>
        <w:rPr>
          <w:i/>
          <w:u w:val="single"/>
          <w:lang w:val="en-GB"/>
        </w:rPr>
      </w:pPr>
      <w:r w:rsidRPr="00622304">
        <w:rPr>
          <w:b/>
          <w:i/>
          <w:u w:val="single"/>
          <w:lang w:val="en-GB"/>
        </w:rPr>
        <w:t>Observation 1:</w:t>
      </w:r>
      <w:r w:rsidRPr="00622304">
        <w:rPr>
          <w:i/>
          <w:u w:val="single"/>
          <w:lang w:val="en-GB"/>
        </w:rPr>
        <w:t xml:space="preserve"> when check with IBE requirement, the simulation results for waveforms with small number of allocated RB have less spread out values.</w:t>
      </w:r>
    </w:p>
    <w:p w:rsidR="0096454F" w:rsidRPr="00622304" w:rsidRDefault="0096454F" w:rsidP="00061E9B">
      <w:pPr>
        <w:rPr>
          <w:i/>
          <w:u w:val="single"/>
          <w:lang w:val="en-GB"/>
        </w:rPr>
      </w:pPr>
      <w:r w:rsidRPr="00622304">
        <w:rPr>
          <w:b/>
          <w:i/>
          <w:u w:val="single"/>
          <w:lang w:val="en-GB"/>
        </w:rPr>
        <w:t>Observation 2:</w:t>
      </w:r>
      <w:r w:rsidRPr="00622304">
        <w:rPr>
          <w:i/>
          <w:u w:val="single"/>
          <w:lang w:val="en-GB"/>
        </w:rPr>
        <w:t xml:space="preserve"> There is a small increase (approx. 0.5</w:t>
      </w:r>
      <w:r w:rsidR="00622304" w:rsidRPr="00622304">
        <w:rPr>
          <w:i/>
          <w:u w:val="single"/>
          <w:lang w:val="en-GB"/>
        </w:rPr>
        <w:t>-1</w:t>
      </w:r>
      <w:r w:rsidRPr="00622304">
        <w:rPr>
          <w:i/>
          <w:u w:val="single"/>
          <w:lang w:val="en-GB"/>
        </w:rPr>
        <w:t xml:space="preserve"> dB</w:t>
      </w:r>
      <w:r w:rsidR="00622304" w:rsidRPr="00622304">
        <w:rPr>
          <w:i/>
          <w:u w:val="single"/>
          <w:lang w:val="en-GB"/>
        </w:rPr>
        <w:t>) in MPR compared to the result without checking IBE.</w:t>
      </w:r>
    </w:p>
    <w:p w:rsidR="00622304" w:rsidRPr="00622304" w:rsidRDefault="00622304" w:rsidP="00061E9B">
      <w:pPr>
        <w:rPr>
          <w:i/>
          <w:u w:val="single"/>
          <w:lang w:val="en-GB"/>
        </w:rPr>
      </w:pPr>
      <w:r w:rsidRPr="00622304">
        <w:rPr>
          <w:b/>
          <w:i/>
          <w:u w:val="single"/>
          <w:lang w:val="en-GB"/>
        </w:rPr>
        <w:t>Observation 3:</w:t>
      </w:r>
      <w:r w:rsidRPr="00622304">
        <w:rPr>
          <w:i/>
          <w:u w:val="single"/>
          <w:lang w:val="en-GB"/>
        </w:rPr>
        <w:t xml:space="preserve"> The MPR for 16QAM is slightly more (approx. 05dB) than that of QPSK. This is due to tighter IBE requirement.</w:t>
      </w:r>
    </w:p>
    <w:p w:rsidR="00622304" w:rsidRDefault="00622304" w:rsidP="00061E9B">
      <w:pPr>
        <w:rPr>
          <w:lang w:val="en-GB"/>
        </w:rPr>
      </w:pPr>
      <w:r>
        <w:rPr>
          <w:lang w:val="en-GB"/>
        </w:rPr>
        <w:t>Given the increased MPR is small, we think that it is appropriate to adopt solution 2: “</w:t>
      </w:r>
      <w:r w:rsidRPr="00061E9B">
        <w:rPr>
          <w:rFonts w:ascii="Times New Roman" w:eastAsia="Times New Roman" w:hAnsi="Times New Roman" w:cs="Times New Roman"/>
          <w:lang w:val="en-GB" w:eastAsia="en-GB"/>
        </w:rPr>
        <w:t>Specify in-band emission requirement without considering IMD exceptions and apply MPR for IMD product</w:t>
      </w:r>
      <w:r>
        <w:rPr>
          <w:lang w:val="en-GB"/>
        </w:rPr>
        <w:t>”.</w:t>
      </w:r>
    </w:p>
    <w:p w:rsidR="00622304" w:rsidRPr="00622304" w:rsidRDefault="00622304" w:rsidP="00061E9B">
      <w:pPr>
        <w:rPr>
          <w:b/>
          <w:lang w:val="en-GB"/>
        </w:rPr>
      </w:pPr>
      <w:r w:rsidRPr="00622304">
        <w:rPr>
          <w:b/>
          <w:u w:val="single"/>
          <w:lang w:val="en-GB"/>
        </w:rPr>
        <w:t>Proposal 1:</w:t>
      </w:r>
      <w:r w:rsidRPr="00622304">
        <w:rPr>
          <w:b/>
          <w:lang w:val="en-GB"/>
        </w:rPr>
        <w:t xml:space="preserve"> Adopt option 2: “</w:t>
      </w:r>
      <w:r w:rsidRPr="00622304">
        <w:rPr>
          <w:rFonts w:ascii="Times New Roman" w:eastAsia="Times New Roman" w:hAnsi="Times New Roman" w:cs="Times New Roman"/>
          <w:b/>
          <w:lang w:val="en-GB" w:eastAsia="en-GB"/>
        </w:rPr>
        <w:t>Specify in-band emission requirement without considering IMD exceptions and apply MPR for IMD product</w:t>
      </w:r>
      <w:r w:rsidRPr="00622304">
        <w:rPr>
          <w:b/>
          <w:lang w:val="en-GB"/>
        </w:rPr>
        <w:t>”.</w:t>
      </w:r>
    </w:p>
    <w:p w:rsidR="00622304" w:rsidRPr="00622304" w:rsidRDefault="00622304" w:rsidP="00061E9B">
      <w:pPr>
        <w:rPr>
          <w:b/>
          <w:lang w:val="en-GB"/>
        </w:rPr>
      </w:pPr>
      <w:r w:rsidRPr="00622304">
        <w:rPr>
          <w:b/>
          <w:u w:val="single"/>
          <w:lang w:val="en-GB"/>
        </w:rPr>
        <w:t>Proposal 2:</w:t>
      </w:r>
      <w:r w:rsidRPr="00622304">
        <w:rPr>
          <w:b/>
          <w:lang w:val="en-GB"/>
        </w:rPr>
        <w:t xml:space="preserve"> Specify MPR for V2X 2 adjacent carriers CA waveforms with adjacent control and data clusters as:</w:t>
      </w:r>
    </w:p>
    <w:p w:rsidR="00622304" w:rsidRPr="00622304" w:rsidRDefault="00622304" w:rsidP="00622304">
      <w:pPr>
        <w:pStyle w:val="ListParagraph"/>
        <w:numPr>
          <w:ilvl w:val="0"/>
          <w:numId w:val="47"/>
        </w:numPr>
        <w:rPr>
          <w:b/>
          <w:lang w:val="en-GB"/>
        </w:rPr>
      </w:pPr>
      <w:r w:rsidRPr="00622304">
        <w:rPr>
          <w:b/>
          <w:lang w:val="en-GB"/>
        </w:rPr>
        <w:t>For QPSK modulation order:</w:t>
      </w:r>
    </w:p>
    <w:p w:rsidR="00622304" w:rsidRPr="00622304" w:rsidRDefault="00622304" w:rsidP="00622304">
      <w:pPr>
        <w:ind w:left="360"/>
        <w:jc w:val="center"/>
        <w:rPr>
          <w:rFonts w:eastAsia="SimSun"/>
          <w:b/>
          <w:lang w:eastAsia="zh-CN"/>
        </w:rPr>
      </w:pPr>
      <w:r w:rsidRPr="00622304">
        <w:rPr>
          <w:b/>
        </w:rPr>
        <w:t>M</w:t>
      </w:r>
      <w:r w:rsidRPr="00622304">
        <w:rPr>
          <w:b/>
          <w:vertAlign w:val="subscript"/>
        </w:rPr>
        <w:t>A</w:t>
      </w:r>
      <w:r w:rsidRPr="00622304">
        <w:rPr>
          <w:b/>
        </w:rPr>
        <w:t xml:space="preserve"> =      6.5</w:t>
      </w:r>
      <w:r w:rsidRPr="00622304">
        <w:rPr>
          <w:b/>
        </w:rPr>
        <w:tab/>
      </w:r>
      <w:r w:rsidRPr="00622304">
        <w:rPr>
          <w:b/>
        </w:rPr>
        <w:tab/>
        <w:t xml:space="preserve">                    ; 0 ≤ A &lt; 0.</w:t>
      </w:r>
      <w:r w:rsidRPr="00622304">
        <w:rPr>
          <w:rFonts w:eastAsia="SimSun" w:hint="eastAsia"/>
          <w:b/>
          <w:lang w:eastAsia="zh-CN"/>
        </w:rPr>
        <w:t>1</w:t>
      </w:r>
    </w:p>
    <w:p w:rsidR="00622304" w:rsidRPr="00622304" w:rsidRDefault="00622304" w:rsidP="00622304">
      <w:pPr>
        <w:ind w:left="360"/>
        <w:jc w:val="center"/>
        <w:rPr>
          <w:rFonts w:eastAsia="SimSun"/>
          <w:b/>
          <w:lang w:eastAsia="zh-CN"/>
        </w:rPr>
      </w:pPr>
      <w:r w:rsidRPr="00622304">
        <w:rPr>
          <w:rFonts w:eastAsia="SimSun" w:hint="eastAsia"/>
          <w:b/>
          <w:lang w:eastAsia="zh-CN"/>
        </w:rPr>
        <w:t>8.5</w:t>
      </w:r>
      <w:r w:rsidRPr="00622304">
        <w:rPr>
          <w:b/>
        </w:rPr>
        <w:t xml:space="preserve"> - </w:t>
      </w:r>
      <w:r w:rsidRPr="00622304">
        <w:rPr>
          <w:rFonts w:eastAsia="SimSun" w:hint="eastAsia"/>
          <w:b/>
          <w:lang w:eastAsia="zh-CN"/>
        </w:rPr>
        <w:t>2</w:t>
      </w:r>
      <w:r w:rsidRPr="00622304">
        <w:rPr>
          <w:b/>
        </w:rPr>
        <w:t xml:space="preserve">0A </w:t>
      </w:r>
      <w:r w:rsidRPr="00622304">
        <w:rPr>
          <w:b/>
        </w:rPr>
        <w:tab/>
      </w:r>
      <w:r w:rsidRPr="00622304">
        <w:rPr>
          <w:b/>
        </w:rPr>
        <w:tab/>
        <w:t xml:space="preserve">      ; 0.</w:t>
      </w:r>
      <w:r w:rsidRPr="00622304">
        <w:rPr>
          <w:rFonts w:eastAsia="SimSun" w:hint="eastAsia"/>
          <w:b/>
          <w:lang w:eastAsia="zh-CN"/>
        </w:rPr>
        <w:t xml:space="preserve">1 </w:t>
      </w:r>
      <w:r w:rsidRPr="00622304">
        <w:rPr>
          <w:b/>
        </w:rPr>
        <w:t>≤ A &lt; 0.</w:t>
      </w:r>
      <w:r w:rsidRPr="00622304">
        <w:rPr>
          <w:rFonts w:eastAsia="SimSun" w:hint="eastAsia"/>
          <w:b/>
          <w:lang w:eastAsia="zh-CN"/>
        </w:rPr>
        <w:t>2</w:t>
      </w:r>
    </w:p>
    <w:p w:rsidR="00622304" w:rsidRPr="00622304" w:rsidRDefault="00622304" w:rsidP="00622304">
      <w:pPr>
        <w:ind w:left="360"/>
        <w:jc w:val="center"/>
        <w:rPr>
          <w:rFonts w:eastAsia="SimSun"/>
          <w:b/>
          <w:lang w:eastAsia="zh-CN"/>
        </w:rPr>
      </w:pPr>
      <w:r w:rsidRPr="00622304">
        <w:rPr>
          <w:rFonts w:eastAsia="SimSun" w:hint="eastAsia"/>
          <w:b/>
          <w:lang w:eastAsia="zh-CN"/>
        </w:rPr>
        <w:t>5.</w:t>
      </w:r>
      <w:r w:rsidRPr="00622304">
        <w:rPr>
          <w:rFonts w:eastAsia="SimSun"/>
          <w:b/>
          <w:lang w:eastAsia="zh-CN"/>
        </w:rPr>
        <w:t>3</w:t>
      </w:r>
      <w:r w:rsidRPr="00622304">
        <w:rPr>
          <w:b/>
        </w:rPr>
        <w:t xml:space="preserve"> – </w:t>
      </w:r>
      <w:r w:rsidRPr="00622304">
        <w:rPr>
          <w:rFonts w:eastAsia="SimSun" w:hint="eastAsia"/>
          <w:b/>
          <w:lang w:eastAsia="zh-CN"/>
        </w:rPr>
        <w:t>4</w:t>
      </w:r>
      <w:r w:rsidRPr="00622304">
        <w:rPr>
          <w:b/>
        </w:rPr>
        <w:t>A</w:t>
      </w:r>
      <w:r w:rsidRPr="00622304">
        <w:rPr>
          <w:b/>
        </w:rPr>
        <w:tab/>
      </w:r>
      <w:r w:rsidRPr="00622304">
        <w:rPr>
          <w:b/>
        </w:rPr>
        <w:tab/>
        <w:t xml:space="preserve">      ; 0.</w:t>
      </w:r>
      <w:r w:rsidRPr="00622304">
        <w:rPr>
          <w:rFonts w:eastAsia="SimSun" w:hint="eastAsia"/>
          <w:b/>
          <w:lang w:eastAsia="zh-CN"/>
        </w:rPr>
        <w:t xml:space="preserve">2 </w:t>
      </w:r>
      <w:r w:rsidRPr="00622304">
        <w:rPr>
          <w:b/>
        </w:rPr>
        <w:t>≤ A &lt; 0.</w:t>
      </w:r>
      <w:r w:rsidRPr="00622304">
        <w:rPr>
          <w:rFonts w:eastAsia="SimSun" w:hint="eastAsia"/>
          <w:b/>
          <w:lang w:eastAsia="zh-CN"/>
        </w:rPr>
        <w:t>7</w:t>
      </w:r>
    </w:p>
    <w:p w:rsidR="00622304" w:rsidRPr="00622304" w:rsidRDefault="00622304" w:rsidP="00622304">
      <w:pPr>
        <w:ind w:left="360"/>
        <w:jc w:val="center"/>
        <w:rPr>
          <w:b/>
        </w:rPr>
      </w:pPr>
      <w:r w:rsidRPr="00622304">
        <w:rPr>
          <w:rFonts w:eastAsia="SimSun" w:hint="eastAsia"/>
          <w:b/>
          <w:lang w:eastAsia="zh-CN"/>
        </w:rPr>
        <w:t>2.5</w:t>
      </w:r>
      <w:r w:rsidRPr="00622304">
        <w:rPr>
          <w:b/>
        </w:rPr>
        <w:tab/>
      </w:r>
      <w:r w:rsidRPr="00622304">
        <w:rPr>
          <w:b/>
        </w:rPr>
        <w:tab/>
      </w:r>
      <w:r w:rsidRPr="00622304">
        <w:rPr>
          <w:b/>
        </w:rPr>
        <w:tab/>
      </w:r>
      <w:r w:rsidRPr="00622304">
        <w:rPr>
          <w:rFonts w:eastAsia="SimSun" w:hint="eastAsia"/>
          <w:b/>
          <w:lang w:eastAsia="zh-CN"/>
        </w:rPr>
        <w:t xml:space="preserve">      </w:t>
      </w:r>
      <w:r w:rsidRPr="00622304">
        <w:rPr>
          <w:b/>
        </w:rPr>
        <w:t>; 0.</w:t>
      </w:r>
      <w:r w:rsidRPr="00622304">
        <w:rPr>
          <w:rFonts w:eastAsia="SimSun" w:hint="eastAsia"/>
          <w:b/>
          <w:lang w:eastAsia="zh-CN"/>
        </w:rPr>
        <w:t>7</w:t>
      </w:r>
      <w:r w:rsidRPr="00622304">
        <w:rPr>
          <w:b/>
        </w:rPr>
        <w:t xml:space="preserve">≤ A ≤ </w:t>
      </w:r>
      <w:r w:rsidRPr="00622304">
        <w:rPr>
          <w:rFonts w:eastAsia="SimSun" w:hint="eastAsia"/>
          <w:b/>
          <w:lang w:eastAsia="zh-CN"/>
        </w:rPr>
        <w:t>1</w:t>
      </w:r>
      <w:r w:rsidRPr="00622304">
        <w:rPr>
          <w:b/>
        </w:rPr>
        <w:t>.</w:t>
      </w:r>
    </w:p>
    <w:p w:rsidR="00622304" w:rsidRPr="00622304" w:rsidRDefault="00622304" w:rsidP="00622304">
      <w:pPr>
        <w:pStyle w:val="ListParagraph"/>
        <w:rPr>
          <w:b/>
          <w:lang w:val="en-GB"/>
        </w:rPr>
      </w:pPr>
    </w:p>
    <w:p w:rsidR="00622304" w:rsidRPr="00622304" w:rsidRDefault="00622304" w:rsidP="00622304">
      <w:pPr>
        <w:pStyle w:val="ListParagraph"/>
        <w:numPr>
          <w:ilvl w:val="0"/>
          <w:numId w:val="47"/>
        </w:numPr>
        <w:rPr>
          <w:b/>
          <w:lang w:val="en-GB"/>
        </w:rPr>
      </w:pPr>
      <w:r w:rsidRPr="00622304">
        <w:rPr>
          <w:b/>
          <w:lang w:val="en-GB"/>
        </w:rPr>
        <w:t>For 16QAM modulation order:</w:t>
      </w:r>
    </w:p>
    <w:p w:rsidR="00622304" w:rsidRPr="00622304" w:rsidRDefault="00622304" w:rsidP="00622304">
      <w:pPr>
        <w:ind w:left="360"/>
        <w:jc w:val="center"/>
        <w:rPr>
          <w:rFonts w:eastAsia="SimSun"/>
          <w:b/>
          <w:lang w:eastAsia="zh-CN"/>
        </w:rPr>
      </w:pPr>
      <w:r w:rsidRPr="00622304">
        <w:rPr>
          <w:b/>
        </w:rPr>
        <w:t>M</w:t>
      </w:r>
      <w:r w:rsidRPr="00622304">
        <w:rPr>
          <w:b/>
          <w:vertAlign w:val="subscript"/>
        </w:rPr>
        <w:t>A</w:t>
      </w:r>
      <w:r w:rsidRPr="00622304">
        <w:rPr>
          <w:b/>
        </w:rPr>
        <w:t xml:space="preserve"> =      6.5</w:t>
      </w:r>
      <w:r w:rsidRPr="00622304">
        <w:rPr>
          <w:b/>
        </w:rPr>
        <w:tab/>
      </w:r>
      <w:r w:rsidRPr="00622304">
        <w:rPr>
          <w:b/>
        </w:rPr>
        <w:tab/>
        <w:t xml:space="preserve">                    ; 0 ≤ A &lt; 0.</w:t>
      </w:r>
      <w:r w:rsidRPr="00622304">
        <w:rPr>
          <w:rFonts w:eastAsia="SimSun" w:hint="eastAsia"/>
          <w:b/>
          <w:lang w:eastAsia="zh-CN"/>
        </w:rPr>
        <w:t>1</w:t>
      </w:r>
    </w:p>
    <w:p w:rsidR="00622304" w:rsidRPr="00622304" w:rsidRDefault="00622304" w:rsidP="00622304">
      <w:pPr>
        <w:ind w:left="360"/>
        <w:jc w:val="center"/>
        <w:rPr>
          <w:rFonts w:eastAsia="SimSun"/>
          <w:b/>
          <w:lang w:eastAsia="zh-CN"/>
        </w:rPr>
      </w:pPr>
      <w:r w:rsidRPr="00622304">
        <w:rPr>
          <w:rFonts w:eastAsia="SimSun" w:hint="eastAsia"/>
          <w:b/>
          <w:lang w:eastAsia="zh-CN"/>
        </w:rPr>
        <w:t>8</w:t>
      </w:r>
      <w:r w:rsidRPr="00622304">
        <w:rPr>
          <w:b/>
        </w:rPr>
        <w:t xml:space="preserve"> - </w:t>
      </w:r>
      <w:r w:rsidRPr="00622304">
        <w:rPr>
          <w:rFonts w:eastAsia="SimSun"/>
          <w:b/>
          <w:lang w:eastAsia="zh-CN"/>
        </w:rPr>
        <w:t>15</w:t>
      </w:r>
      <w:r w:rsidRPr="00622304">
        <w:rPr>
          <w:b/>
        </w:rPr>
        <w:t xml:space="preserve">A </w:t>
      </w:r>
      <w:r w:rsidRPr="00622304">
        <w:rPr>
          <w:b/>
        </w:rPr>
        <w:tab/>
      </w:r>
      <w:r w:rsidRPr="00622304">
        <w:rPr>
          <w:b/>
        </w:rPr>
        <w:tab/>
        <w:t xml:space="preserve">      ; 0.</w:t>
      </w:r>
      <w:r w:rsidRPr="00622304">
        <w:rPr>
          <w:rFonts w:eastAsia="SimSun" w:hint="eastAsia"/>
          <w:b/>
          <w:lang w:eastAsia="zh-CN"/>
        </w:rPr>
        <w:t xml:space="preserve">1 </w:t>
      </w:r>
      <w:r w:rsidRPr="00622304">
        <w:rPr>
          <w:b/>
        </w:rPr>
        <w:t>≤ A &lt; 0.</w:t>
      </w:r>
      <w:r w:rsidRPr="00622304">
        <w:rPr>
          <w:rFonts w:eastAsia="SimSun" w:hint="eastAsia"/>
          <w:b/>
          <w:lang w:eastAsia="zh-CN"/>
        </w:rPr>
        <w:t>2</w:t>
      </w:r>
    </w:p>
    <w:p w:rsidR="00622304" w:rsidRPr="00622304" w:rsidRDefault="00622304" w:rsidP="00622304">
      <w:pPr>
        <w:ind w:left="360"/>
        <w:jc w:val="center"/>
        <w:rPr>
          <w:rFonts w:eastAsia="SimSun"/>
          <w:b/>
          <w:lang w:eastAsia="zh-CN"/>
        </w:rPr>
      </w:pPr>
      <w:r w:rsidRPr="00622304">
        <w:rPr>
          <w:rFonts w:eastAsia="SimSun" w:hint="eastAsia"/>
          <w:b/>
          <w:lang w:eastAsia="zh-CN"/>
        </w:rPr>
        <w:t>5.</w:t>
      </w:r>
      <w:r w:rsidRPr="00622304">
        <w:rPr>
          <w:rFonts w:eastAsia="SimSun"/>
          <w:b/>
          <w:lang w:eastAsia="zh-CN"/>
        </w:rPr>
        <w:t>8</w:t>
      </w:r>
      <w:r w:rsidRPr="00622304">
        <w:rPr>
          <w:b/>
        </w:rPr>
        <w:t xml:space="preserve"> – </w:t>
      </w:r>
      <w:r w:rsidRPr="00622304">
        <w:rPr>
          <w:rFonts w:eastAsia="SimSun" w:hint="eastAsia"/>
          <w:b/>
          <w:lang w:eastAsia="zh-CN"/>
        </w:rPr>
        <w:t>4</w:t>
      </w:r>
      <w:r w:rsidRPr="00622304">
        <w:rPr>
          <w:b/>
        </w:rPr>
        <w:t>A</w:t>
      </w:r>
      <w:r w:rsidRPr="00622304">
        <w:rPr>
          <w:b/>
        </w:rPr>
        <w:tab/>
      </w:r>
      <w:r w:rsidRPr="00622304">
        <w:rPr>
          <w:b/>
        </w:rPr>
        <w:tab/>
        <w:t xml:space="preserve">      ; 0.</w:t>
      </w:r>
      <w:r w:rsidRPr="00622304">
        <w:rPr>
          <w:rFonts w:eastAsia="SimSun" w:hint="eastAsia"/>
          <w:b/>
          <w:lang w:eastAsia="zh-CN"/>
        </w:rPr>
        <w:t xml:space="preserve">2 </w:t>
      </w:r>
      <w:r w:rsidRPr="00622304">
        <w:rPr>
          <w:b/>
        </w:rPr>
        <w:t>≤ A &lt; 0.</w:t>
      </w:r>
      <w:r w:rsidRPr="00622304">
        <w:rPr>
          <w:rFonts w:eastAsia="SimSun" w:hint="eastAsia"/>
          <w:b/>
          <w:lang w:eastAsia="zh-CN"/>
        </w:rPr>
        <w:t>7</w:t>
      </w:r>
    </w:p>
    <w:p w:rsidR="00622304" w:rsidRPr="00622304" w:rsidRDefault="00622304" w:rsidP="00622304">
      <w:pPr>
        <w:ind w:left="360"/>
        <w:jc w:val="center"/>
        <w:rPr>
          <w:b/>
        </w:rPr>
      </w:pPr>
      <w:r w:rsidRPr="00622304">
        <w:rPr>
          <w:rFonts w:eastAsia="SimSun"/>
          <w:b/>
          <w:lang w:eastAsia="zh-CN"/>
        </w:rPr>
        <w:t>3</w:t>
      </w:r>
      <w:r w:rsidRPr="00622304">
        <w:rPr>
          <w:b/>
        </w:rPr>
        <w:tab/>
      </w:r>
      <w:r w:rsidRPr="00622304">
        <w:rPr>
          <w:b/>
        </w:rPr>
        <w:tab/>
      </w:r>
      <w:r w:rsidRPr="00622304">
        <w:rPr>
          <w:b/>
        </w:rPr>
        <w:tab/>
      </w:r>
      <w:r w:rsidRPr="00622304">
        <w:rPr>
          <w:rFonts w:eastAsia="SimSun" w:hint="eastAsia"/>
          <w:b/>
          <w:lang w:eastAsia="zh-CN"/>
        </w:rPr>
        <w:t xml:space="preserve">      </w:t>
      </w:r>
      <w:r w:rsidRPr="00622304">
        <w:rPr>
          <w:b/>
        </w:rPr>
        <w:t>; 0.</w:t>
      </w:r>
      <w:r w:rsidRPr="00622304">
        <w:rPr>
          <w:rFonts w:eastAsia="SimSun" w:hint="eastAsia"/>
          <w:b/>
          <w:lang w:eastAsia="zh-CN"/>
        </w:rPr>
        <w:t>7</w:t>
      </w:r>
      <w:r w:rsidRPr="00622304">
        <w:rPr>
          <w:b/>
        </w:rPr>
        <w:t xml:space="preserve">≤ A ≤ </w:t>
      </w:r>
      <w:r w:rsidRPr="00622304">
        <w:rPr>
          <w:rFonts w:eastAsia="SimSun" w:hint="eastAsia"/>
          <w:b/>
          <w:lang w:eastAsia="zh-CN"/>
        </w:rPr>
        <w:t>1</w:t>
      </w:r>
      <w:r w:rsidRPr="00622304">
        <w:rPr>
          <w:b/>
        </w:rPr>
        <w:t>.</w:t>
      </w:r>
    </w:p>
    <w:p w:rsidR="00622304" w:rsidRPr="00622304" w:rsidRDefault="00622304" w:rsidP="00622304">
      <w:pPr>
        <w:pStyle w:val="ListParagraph"/>
        <w:rPr>
          <w:lang w:val="en-GB"/>
        </w:rPr>
      </w:pPr>
    </w:p>
    <w:p w:rsidR="0096454F" w:rsidRDefault="00932E88" w:rsidP="0096454F">
      <w:pPr>
        <w:pStyle w:val="TableNo"/>
        <w:spacing w:before="0" w:after="0"/>
      </w:pPr>
      <w:r w:rsidRPr="00932E88">
        <w:rPr>
          <w:rFonts w:eastAsia="Malgun Gothic"/>
          <w:b/>
          <w:noProof/>
          <w:sz w:val="20"/>
          <w:lang w:val="en-GB" w:eastAsia="ko-KR"/>
        </w:rPr>
        <w:drawing>
          <wp:inline distT="0" distB="0" distL="0" distR="0" wp14:anchorId="0E1FC1DC" wp14:editId="4A91D671">
            <wp:extent cx="4732020" cy="37109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6285" t="1905" r="5000" b="5334"/>
                    <a:stretch/>
                  </pic:blipFill>
                  <pic:spPr bwMode="auto">
                    <a:xfrm>
                      <a:off x="0" y="0"/>
                      <a:ext cx="4732020" cy="3710940"/>
                    </a:xfrm>
                    <a:prstGeom prst="rect">
                      <a:avLst/>
                    </a:prstGeom>
                    <a:ln>
                      <a:noFill/>
                    </a:ln>
                    <a:extLst>
                      <a:ext uri="{53640926-AAD7-44D8-BBD7-CCE9431645EC}">
                        <a14:shadowObscured xmlns:a14="http://schemas.microsoft.com/office/drawing/2010/main"/>
                      </a:ext>
                    </a:extLst>
                  </pic:spPr>
                </pic:pic>
              </a:graphicData>
            </a:graphic>
          </wp:inline>
        </w:drawing>
      </w:r>
    </w:p>
    <w:p w:rsidR="00D66C34" w:rsidRPr="0096454F" w:rsidRDefault="0096454F" w:rsidP="0096454F">
      <w:pPr>
        <w:pStyle w:val="Caption"/>
        <w:jc w:val="center"/>
        <w:rPr>
          <w:rFonts w:eastAsia="Malgun Gothic"/>
          <w:b/>
          <w:sz w:val="28"/>
          <w:szCs w:val="28"/>
          <w:lang w:val="en-GB" w:eastAsia="ko-KR"/>
        </w:rPr>
      </w:pPr>
      <w:r w:rsidRPr="0096454F">
        <w:rPr>
          <w:b/>
          <w:sz w:val="28"/>
          <w:szCs w:val="28"/>
        </w:rPr>
        <w:t xml:space="preserve">Figure </w:t>
      </w:r>
      <w:r w:rsidRPr="0096454F">
        <w:rPr>
          <w:b/>
          <w:sz w:val="28"/>
          <w:szCs w:val="28"/>
        </w:rPr>
        <w:fldChar w:fldCharType="begin"/>
      </w:r>
      <w:r w:rsidRPr="0096454F">
        <w:rPr>
          <w:b/>
          <w:sz w:val="28"/>
          <w:szCs w:val="28"/>
        </w:rPr>
        <w:instrText xml:space="preserve"> SEQ Figure \* ARABIC </w:instrText>
      </w:r>
      <w:r w:rsidRPr="0096454F">
        <w:rPr>
          <w:b/>
          <w:sz w:val="28"/>
          <w:szCs w:val="28"/>
        </w:rPr>
        <w:fldChar w:fldCharType="separate"/>
      </w:r>
      <w:r>
        <w:rPr>
          <w:b/>
          <w:noProof/>
          <w:sz w:val="28"/>
          <w:szCs w:val="28"/>
        </w:rPr>
        <w:t>1</w:t>
      </w:r>
      <w:r w:rsidRPr="0096454F">
        <w:rPr>
          <w:b/>
          <w:sz w:val="28"/>
          <w:szCs w:val="28"/>
        </w:rPr>
        <w:fldChar w:fldCharType="end"/>
      </w:r>
      <w:r w:rsidRPr="0096454F">
        <w:rPr>
          <w:b/>
          <w:sz w:val="28"/>
          <w:szCs w:val="28"/>
        </w:rPr>
        <w:t>. MPR for QPSK modulation order.</w:t>
      </w:r>
    </w:p>
    <w:p w:rsidR="0096454F" w:rsidRDefault="00932E88" w:rsidP="0096454F">
      <w:pPr>
        <w:keepNext/>
        <w:jc w:val="center"/>
      </w:pPr>
      <w:r w:rsidRPr="00932E88">
        <w:rPr>
          <w:noProof/>
          <w:lang w:val="en-GB"/>
        </w:rPr>
        <w:lastRenderedPageBreak/>
        <w:drawing>
          <wp:inline distT="0" distB="0" distL="0" distR="0" wp14:anchorId="3C3A828B" wp14:editId="6E3C921F">
            <wp:extent cx="4488180" cy="38252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714" t="762" r="6142" b="3619"/>
                    <a:stretch/>
                  </pic:blipFill>
                  <pic:spPr bwMode="auto">
                    <a:xfrm>
                      <a:off x="0" y="0"/>
                      <a:ext cx="4488180" cy="3825240"/>
                    </a:xfrm>
                    <a:prstGeom prst="rect">
                      <a:avLst/>
                    </a:prstGeom>
                    <a:ln>
                      <a:noFill/>
                    </a:ln>
                    <a:extLst>
                      <a:ext uri="{53640926-AAD7-44D8-BBD7-CCE9431645EC}">
                        <a14:shadowObscured xmlns:a14="http://schemas.microsoft.com/office/drawing/2010/main"/>
                      </a:ext>
                    </a:extLst>
                  </pic:spPr>
                </pic:pic>
              </a:graphicData>
            </a:graphic>
          </wp:inline>
        </w:drawing>
      </w:r>
    </w:p>
    <w:p w:rsidR="004D27DD" w:rsidRPr="0096454F" w:rsidRDefault="0096454F" w:rsidP="0096454F">
      <w:pPr>
        <w:pStyle w:val="Caption"/>
        <w:jc w:val="center"/>
        <w:rPr>
          <w:b/>
          <w:sz w:val="28"/>
          <w:szCs w:val="28"/>
          <w:lang w:val="en-GB"/>
        </w:rPr>
      </w:pPr>
      <w:r w:rsidRPr="0096454F">
        <w:rPr>
          <w:b/>
          <w:sz w:val="28"/>
          <w:szCs w:val="28"/>
        </w:rPr>
        <w:t xml:space="preserve">Figure </w:t>
      </w:r>
      <w:r w:rsidRPr="0096454F">
        <w:rPr>
          <w:b/>
          <w:sz w:val="28"/>
          <w:szCs w:val="28"/>
        </w:rPr>
        <w:fldChar w:fldCharType="begin"/>
      </w:r>
      <w:r w:rsidRPr="0096454F">
        <w:rPr>
          <w:b/>
          <w:sz w:val="28"/>
          <w:szCs w:val="28"/>
        </w:rPr>
        <w:instrText xml:space="preserve"> SEQ Figure \* ARABIC </w:instrText>
      </w:r>
      <w:r w:rsidRPr="0096454F">
        <w:rPr>
          <w:b/>
          <w:sz w:val="28"/>
          <w:szCs w:val="28"/>
        </w:rPr>
        <w:fldChar w:fldCharType="separate"/>
      </w:r>
      <w:r w:rsidRPr="0096454F">
        <w:rPr>
          <w:b/>
          <w:noProof/>
          <w:sz w:val="28"/>
          <w:szCs w:val="28"/>
        </w:rPr>
        <w:t>2</w:t>
      </w:r>
      <w:r w:rsidRPr="0096454F">
        <w:rPr>
          <w:b/>
          <w:sz w:val="28"/>
          <w:szCs w:val="28"/>
        </w:rPr>
        <w:fldChar w:fldCharType="end"/>
      </w:r>
      <w:r w:rsidRPr="0096454F">
        <w:rPr>
          <w:b/>
          <w:sz w:val="28"/>
          <w:szCs w:val="28"/>
        </w:rPr>
        <w:t>. MPR for 16QAM modulation order</w:t>
      </w:r>
    </w:p>
    <w:p w:rsidR="00AC1D3D" w:rsidRDefault="006A3DFE" w:rsidP="00C84A17">
      <w:pPr>
        <w:pStyle w:val="Heading1"/>
      </w:pPr>
      <w:r>
        <w:t>IBE requirements for V2X waveforms with non-adjacent control and data</w:t>
      </w:r>
    </w:p>
    <w:p w:rsidR="008036FD" w:rsidRDefault="006A3DFE" w:rsidP="006A3DFE">
      <w:pPr>
        <w:rPr>
          <w:lang w:val="en-GB"/>
        </w:rPr>
      </w:pPr>
      <w:r>
        <w:rPr>
          <w:lang w:val="en-GB"/>
        </w:rPr>
        <w:t xml:space="preserve">In current UE RF specification for V2X Service, there is no IBE requirement for V2X waveforms with non-adjacent control and data clusters. From the system point of view, the problem is similar to that of </w:t>
      </w:r>
      <w:r w:rsidR="008036FD">
        <w:rPr>
          <w:lang w:val="en-GB"/>
        </w:rPr>
        <w:t>V2X CA waveforms. The IMD products of the controls and data clusters may fall in channel, and create high peaks of leakage. Such high peaks leakage may interfere with receiving UEs nearby causing the near far effect that reduce system capacity and communication range.</w:t>
      </w:r>
    </w:p>
    <w:p w:rsidR="006A3DFE" w:rsidRDefault="008036FD" w:rsidP="006A3DFE">
      <w:pPr>
        <w:rPr>
          <w:lang w:val="en-GB"/>
        </w:rPr>
      </w:pPr>
      <w:r>
        <w:rPr>
          <w:lang w:val="en-GB"/>
        </w:rPr>
        <w:t>As it has been shown that one can supress these high IMD peaks by allowing for a bit more MPR, at least for the 2 carriers CA case. The same may hold true for at least the V2X waveforms with non-adjacent control and data clusters in a single carrier. Thus, we propose to extend the current IBE requirements for single carrier to the case where control and data clusters are non-adjacent and re-adjust the MPR for that case accordingly.</w:t>
      </w:r>
    </w:p>
    <w:p w:rsidR="008036FD" w:rsidRPr="008036FD" w:rsidRDefault="008036FD" w:rsidP="006A3DFE">
      <w:pPr>
        <w:rPr>
          <w:b/>
          <w:lang w:val="en-GB"/>
        </w:rPr>
      </w:pPr>
      <w:r w:rsidRPr="008036FD">
        <w:rPr>
          <w:b/>
          <w:u w:val="single"/>
          <w:lang w:val="en-GB"/>
        </w:rPr>
        <w:t xml:space="preserve">Proposal </w:t>
      </w:r>
      <w:r w:rsidR="00622304">
        <w:rPr>
          <w:b/>
          <w:u w:val="single"/>
          <w:lang w:val="en-GB"/>
        </w:rPr>
        <w:t>3</w:t>
      </w:r>
      <w:r w:rsidRPr="008036FD">
        <w:rPr>
          <w:b/>
          <w:u w:val="single"/>
          <w:lang w:val="en-GB"/>
        </w:rPr>
        <w:t>:</w:t>
      </w:r>
      <w:r w:rsidRPr="008036FD">
        <w:rPr>
          <w:b/>
          <w:lang w:val="en-GB"/>
        </w:rPr>
        <w:t xml:space="preserve"> RAN4 to adopt the same IBE requirement for single carrier V2X waveforms with adjacent control and data clusters to single carrier V2X waveforms with non-adjacent control and data clusters. The MPR for the latter case needed to be re-evaluated and adjusted if needed.</w:t>
      </w:r>
    </w:p>
    <w:p w:rsidR="008036FD" w:rsidRDefault="008036FD" w:rsidP="006A3DFE">
      <w:pPr>
        <w:rPr>
          <w:lang w:val="en-GB"/>
        </w:rPr>
      </w:pPr>
      <w:r>
        <w:rPr>
          <w:lang w:val="en-GB"/>
        </w:rPr>
        <w:t>For V2X CA, the waveforms now may contain 4 different non-adjacent SC-FDM clusters, which increases the complexity of the IMD effect significantly. Nevertheless, we hope that the same approach may still works in this case. Of course, more simulations are needed to verify if the required MPR to suppress the in channel IMD peaks is not too much.</w:t>
      </w:r>
    </w:p>
    <w:p w:rsidR="008036FD" w:rsidRPr="008036FD" w:rsidRDefault="008036FD" w:rsidP="006A3DFE">
      <w:pPr>
        <w:rPr>
          <w:b/>
          <w:lang w:val="en-GB"/>
        </w:rPr>
      </w:pPr>
      <w:r w:rsidRPr="008036FD">
        <w:rPr>
          <w:b/>
          <w:u w:val="single"/>
          <w:lang w:val="en-GB"/>
        </w:rPr>
        <w:t>Proposal</w:t>
      </w:r>
      <w:r w:rsidR="00622304">
        <w:rPr>
          <w:b/>
          <w:u w:val="single"/>
          <w:lang w:val="en-GB"/>
        </w:rPr>
        <w:t xml:space="preserve"> 4</w:t>
      </w:r>
      <w:r w:rsidRPr="008036FD">
        <w:rPr>
          <w:b/>
          <w:u w:val="single"/>
          <w:lang w:val="en-GB"/>
        </w:rPr>
        <w:t>:</w:t>
      </w:r>
      <w:r w:rsidRPr="008036FD">
        <w:rPr>
          <w:b/>
          <w:lang w:val="en-GB"/>
        </w:rPr>
        <w:t xml:space="preserve"> RAN 4 to further study to needed MPR to supress the in channel IMD peaks for 2 carriers V2X CA waveforms with non-adjacent control and data clusters in each carrier.</w:t>
      </w:r>
    </w:p>
    <w:p w:rsidR="00622304" w:rsidRDefault="00622304" w:rsidP="00607454">
      <w:pPr>
        <w:pStyle w:val="Heading1"/>
      </w:pPr>
      <w:r>
        <w:lastRenderedPageBreak/>
        <w:t>Conclusion</w:t>
      </w:r>
    </w:p>
    <w:p w:rsidR="00622304" w:rsidRPr="00622304" w:rsidRDefault="00622304" w:rsidP="00622304">
      <w:pPr>
        <w:rPr>
          <w:lang w:val="en-GB"/>
        </w:rPr>
      </w:pPr>
      <w:r>
        <w:rPr>
          <w:lang w:val="en-GB"/>
        </w:rPr>
        <w:t>For the case where control and data clusters are adjacent.</w:t>
      </w:r>
    </w:p>
    <w:p w:rsidR="00622304" w:rsidRPr="00622304" w:rsidRDefault="00622304" w:rsidP="00622304">
      <w:pPr>
        <w:rPr>
          <w:i/>
          <w:u w:val="single"/>
          <w:lang w:val="en-GB"/>
        </w:rPr>
      </w:pPr>
      <w:r w:rsidRPr="00622304">
        <w:rPr>
          <w:b/>
          <w:i/>
          <w:u w:val="single"/>
          <w:lang w:val="en-GB"/>
        </w:rPr>
        <w:t>Observation 1:</w:t>
      </w:r>
      <w:r w:rsidRPr="00622304">
        <w:rPr>
          <w:i/>
          <w:u w:val="single"/>
          <w:lang w:val="en-GB"/>
        </w:rPr>
        <w:t xml:space="preserve"> when check with IBE requirement, the simulation results for waveforms with small number of allocated RB have less spread out values.</w:t>
      </w:r>
    </w:p>
    <w:p w:rsidR="00622304" w:rsidRPr="00622304" w:rsidRDefault="00622304" w:rsidP="00622304">
      <w:pPr>
        <w:rPr>
          <w:i/>
          <w:u w:val="single"/>
          <w:lang w:val="en-GB"/>
        </w:rPr>
      </w:pPr>
      <w:r w:rsidRPr="00622304">
        <w:rPr>
          <w:b/>
          <w:i/>
          <w:u w:val="single"/>
          <w:lang w:val="en-GB"/>
        </w:rPr>
        <w:t>Observation 2:</w:t>
      </w:r>
      <w:r w:rsidRPr="00622304">
        <w:rPr>
          <w:i/>
          <w:u w:val="single"/>
          <w:lang w:val="en-GB"/>
        </w:rPr>
        <w:t xml:space="preserve"> There is a small increase (approx. 0.5-1 dB) in MPR compared to the result without checking IBE.</w:t>
      </w:r>
    </w:p>
    <w:p w:rsidR="00622304" w:rsidRPr="00622304" w:rsidRDefault="00622304" w:rsidP="00622304">
      <w:pPr>
        <w:rPr>
          <w:i/>
          <w:u w:val="single"/>
          <w:lang w:val="en-GB"/>
        </w:rPr>
      </w:pPr>
      <w:r w:rsidRPr="00622304">
        <w:rPr>
          <w:b/>
          <w:i/>
          <w:u w:val="single"/>
          <w:lang w:val="en-GB"/>
        </w:rPr>
        <w:t>Observation 3:</w:t>
      </w:r>
      <w:r w:rsidRPr="00622304">
        <w:rPr>
          <w:i/>
          <w:u w:val="single"/>
          <w:lang w:val="en-GB"/>
        </w:rPr>
        <w:t xml:space="preserve"> The MPR for 16QAM is slightly more (approx. 05dB) than that of QPSK. This is due to tighter IBE requirement.</w:t>
      </w:r>
    </w:p>
    <w:p w:rsidR="00622304" w:rsidRPr="00622304" w:rsidRDefault="00622304" w:rsidP="00622304">
      <w:pPr>
        <w:rPr>
          <w:b/>
          <w:lang w:val="en-GB"/>
        </w:rPr>
      </w:pPr>
      <w:r w:rsidRPr="00622304">
        <w:rPr>
          <w:b/>
          <w:u w:val="single"/>
          <w:lang w:val="en-GB"/>
        </w:rPr>
        <w:t>Proposal 1:</w:t>
      </w:r>
      <w:r w:rsidRPr="00622304">
        <w:rPr>
          <w:b/>
          <w:lang w:val="en-GB"/>
        </w:rPr>
        <w:t xml:space="preserve"> Adopt option 2: “</w:t>
      </w:r>
      <w:r w:rsidRPr="00622304">
        <w:rPr>
          <w:rFonts w:ascii="Times New Roman" w:eastAsia="Times New Roman" w:hAnsi="Times New Roman" w:cs="Times New Roman"/>
          <w:b/>
          <w:lang w:val="en-GB" w:eastAsia="en-GB"/>
        </w:rPr>
        <w:t>Specify in-band emission requirement without considering IMD exceptions and apply MPR for IMD product</w:t>
      </w:r>
      <w:r w:rsidRPr="00622304">
        <w:rPr>
          <w:b/>
          <w:lang w:val="en-GB"/>
        </w:rPr>
        <w:t>”.</w:t>
      </w:r>
    </w:p>
    <w:p w:rsidR="00622304" w:rsidRPr="00622304" w:rsidRDefault="00622304" w:rsidP="00622304">
      <w:pPr>
        <w:rPr>
          <w:b/>
          <w:lang w:val="en-GB"/>
        </w:rPr>
      </w:pPr>
      <w:r w:rsidRPr="00622304">
        <w:rPr>
          <w:b/>
          <w:u w:val="single"/>
          <w:lang w:val="en-GB"/>
        </w:rPr>
        <w:t>Proposal 2:</w:t>
      </w:r>
      <w:r w:rsidRPr="00622304">
        <w:rPr>
          <w:b/>
          <w:lang w:val="en-GB"/>
        </w:rPr>
        <w:t xml:space="preserve"> Specify MPR for V2X 2 adjacent carriers CA waveforms with adjacent control and data clusters as:</w:t>
      </w:r>
    </w:p>
    <w:p w:rsidR="00622304" w:rsidRPr="00622304" w:rsidRDefault="00622304" w:rsidP="00622304">
      <w:pPr>
        <w:pStyle w:val="ListParagraph"/>
        <w:numPr>
          <w:ilvl w:val="0"/>
          <w:numId w:val="48"/>
        </w:numPr>
        <w:rPr>
          <w:b/>
          <w:lang w:val="en-GB"/>
        </w:rPr>
      </w:pPr>
      <w:r w:rsidRPr="00622304">
        <w:rPr>
          <w:b/>
          <w:lang w:val="en-GB"/>
        </w:rPr>
        <w:t>For QPSK modulation order:</w:t>
      </w:r>
    </w:p>
    <w:p w:rsidR="00622304" w:rsidRPr="00622304" w:rsidRDefault="00622304" w:rsidP="00622304">
      <w:pPr>
        <w:ind w:left="360"/>
        <w:jc w:val="center"/>
        <w:rPr>
          <w:rFonts w:eastAsia="SimSun"/>
          <w:b/>
          <w:lang w:eastAsia="zh-CN"/>
        </w:rPr>
      </w:pPr>
      <w:r w:rsidRPr="00622304">
        <w:rPr>
          <w:b/>
        </w:rPr>
        <w:t>M</w:t>
      </w:r>
      <w:r w:rsidRPr="00622304">
        <w:rPr>
          <w:b/>
          <w:vertAlign w:val="subscript"/>
        </w:rPr>
        <w:t>A</w:t>
      </w:r>
      <w:r w:rsidRPr="00622304">
        <w:rPr>
          <w:b/>
        </w:rPr>
        <w:t xml:space="preserve"> =      6.5</w:t>
      </w:r>
      <w:r w:rsidRPr="00622304">
        <w:rPr>
          <w:b/>
        </w:rPr>
        <w:tab/>
      </w:r>
      <w:r w:rsidRPr="00622304">
        <w:rPr>
          <w:b/>
        </w:rPr>
        <w:tab/>
        <w:t xml:space="preserve">                    ; 0 ≤ A &lt; 0.</w:t>
      </w:r>
      <w:r w:rsidRPr="00622304">
        <w:rPr>
          <w:rFonts w:eastAsia="SimSun" w:hint="eastAsia"/>
          <w:b/>
          <w:lang w:eastAsia="zh-CN"/>
        </w:rPr>
        <w:t>1</w:t>
      </w:r>
    </w:p>
    <w:p w:rsidR="00622304" w:rsidRPr="00622304" w:rsidRDefault="00622304" w:rsidP="00622304">
      <w:pPr>
        <w:ind w:left="360"/>
        <w:jc w:val="center"/>
        <w:rPr>
          <w:rFonts w:eastAsia="SimSun"/>
          <w:b/>
          <w:lang w:eastAsia="zh-CN"/>
        </w:rPr>
      </w:pPr>
      <w:r w:rsidRPr="00622304">
        <w:rPr>
          <w:rFonts w:eastAsia="SimSun" w:hint="eastAsia"/>
          <w:b/>
          <w:lang w:eastAsia="zh-CN"/>
        </w:rPr>
        <w:t>8.5</w:t>
      </w:r>
      <w:r w:rsidRPr="00622304">
        <w:rPr>
          <w:b/>
        </w:rPr>
        <w:t xml:space="preserve"> - </w:t>
      </w:r>
      <w:r w:rsidRPr="00622304">
        <w:rPr>
          <w:rFonts w:eastAsia="SimSun" w:hint="eastAsia"/>
          <w:b/>
          <w:lang w:eastAsia="zh-CN"/>
        </w:rPr>
        <w:t>2</w:t>
      </w:r>
      <w:r w:rsidRPr="00622304">
        <w:rPr>
          <w:b/>
        </w:rPr>
        <w:t xml:space="preserve">0A </w:t>
      </w:r>
      <w:r w:rsidRPr="00622304">
        <w:rPr>
          <w:b/>
        </w:rPr>
        <w:tab/>
      </w:r>
      <w:r w:rsidRPr="00622304">
        <w:rPr>
          <w:b/>
        </w:rPr>
        <w:tab/>
        <w:t xml:space="preserve">      ; 0.</w:t>
      </w:r>
      <w:r w:rsidRPr="00622304">
        <w:rPr>
          <w:rFonts w:eastAsia="SimSun" w:hint="eastAsia"/>
          <w:b/>
          <w:lang w:eastAsia="zh-CN"/>
        </w:rPr>
        <w:t xml:space="preserve">1 </w:t>
      </w:r>
      <w:r w:rsidRPr="00622304">
        <w:rPr>
          <w:b/>
        </w:rPr>
        <w:t>≤ A &lt; 0.</w:t>
      </w:r>
      <w:r w:rsidRPr="00622304">
        <w:rPr>
          <w:rFonts w:eastAsia="SimSun" w:hint="eastAsia"/>
          <w:b/>
          <w:lang w:eastAsia="zh-CN"/>
        </w:rPr>
        <w:t>2</w:t>
      </w:r>
    </w:p>
    <w:p w:rsidR="00622304" w:rsidRPr="00622304" w:rsidRDefault="00622304" w:rsidP="00622304">
      <w:pPr>
        <w:ind w:left="360"/>
        <w:jc w:val="center"/>
        <w:rPr>
          <w:rFonts w:eastAsia="SimSun"/>
          <w:b/>
          <w:lang w:eastAsia="zh-CN"/>
        </w:rPr>
      </w:pPr>
      <w:r w:rsidRPr="00622304">
        <w:rPr>
          <w:rFonts w:eastAsia="SimSun" w:hint="eastAsia"/>
          <w:b/>
          <w:lang w:eastAsia="zh-CN"/>
        </w:rPr>
        <w:t>5.</w:t>
      </w:r>
      <w:r w:rsidRPr="00622304">
        <w:rPr>
          <w:rFonts w:eastAsia="SimSun"/>
          <w:b/>
          <w:lang w:eastAsia="zh-CN"/>
        </w:rPr>
        <w:t>3</w:t>
      </w:r>
      <w:r w:rsidRPr="00622304">
        <w:rPr>
          <w:b/>
        </w:rPr>
        <w:t xml:space="preserve"> – </w:t>
      </w:r>
      <w:r w:rsidRPr="00622304">
        <w:rPr>
          <w:rFonts w:eastAsia="SimSun" w:hint="eastAsia"/>
          <w:b/>
          <w:lang w:eastAsia="zh-CN"/>
        </w:rPr>
        <w:t>4</w:t>
      </w:r>
      <w:r w:rsidRPr="00622304">
        <w:rPr>
          <w:b/>
        </w:rPr>
        <w:t>A</w:t>
      </w:r>
      <w:r w:rsidRPr="00622304">
        <w:rPr>
          <w:b/>
        </w:rPr>
        <w:tab/>
      </w:r>
      <w:r w:rsidRPr="00622304">
        <w:rPr>
          <w:b/>
        </w:rPr>
        <w:tab/>
        <w:t xml:space="preserve">      ; 0.</w:t>
      </w:r>
      <w:r w:rsidRPr="00622304">
        <w:rPr>
          <w:rFonts w:eastAsia="SimSun" w:hint="eastAsia"/>
          <w:b/>
          <w:lang w:eastAsia="zh-CN"/>
        </w:rPr>
        <w:t xml:space="preserve">2 </w:t>
      </w:r>
      <w:r w:rsidRPr="00622304">
        <w:rPr>
          <w:b/>
        </w:rPr>
        <w:t>≤ A &lt; 0.</w:t>
      </w:r>
      <w:r w:rsidRPr="00622304">
        <w:rPr>
          <w:rFonts w:eastAsia="SimSun" w:hint="eastAsia"/>
          <w:b/>
          <w:lang w:eastAsia="zh-CN"/>
        </w:rPr>
        <w:t>7</w:t>
      </w:r>
    </w:p>
    <w:p w:rsidR="00622304" w:rsidRPr="00622304" w:rsidRDefault="00622304" w:rsidP="00622304">
      <w:pPr>
        <w:ind w:left="360"/>
        <w:jc w:val="center"/>
        <w:rPr>
          <w:b/>
        </w:rPr>
      </w:pPr>
      <w:r w:rsidRPr="00622304">
        <w:rPr>
          <w:rFonts w:eastAsia="SimSun" w:hint="eastAsia"/>
          <w:b/>
          <w:lang w:eastAsia="zh-CN"/>
        </w:rPr>
        <w:t>2.5</w:t>
      </w:r>
      <w:r w:rsidRPr="00622304">
        <w:rPr>
          <w:b/>
        </w:rPr>
        <w:tab/>
      </w:r>
      <w:r w:rsidRPr="00622304">
        <w:rPr>
          <w:b/>
        </w:rPr>
        <w:tab/>
      </w:r>
      <w:r w:rsidRPr="00622304">
        <w:rPr>
          <w:b/>
        </w:rPr>
        <w:tab/>
      </w:r>
      <w:r w:rsidRPr="00622304">
        <w:rPr>
          <w:rFonts w:eastAsia="SimSun" w:hint="eastAsia"/>
          <w:b/>
          <w:lang w:eastAsia="zh-CN"/>
        </w:rPr>
        <w:t xml:space="preserve">      </w:t>
      </w:r>
      <w:r w:rsidRPr="00622304">
        <w:rPr>
          <w:b/>
        </w:rPr>
        <w:t>; 0.</w:t>
      </w:r>
      <w:r w:rsidRPr="00622304">
        <w:rPr>
          <w:rFonts w:eastAsia="SimSun" w:hint="eastAsia"/>
          <w:b/>
          <w:lang w:eastAsia="zh-CN"/>
        </w:rPr>
        <w:t>7</w:t>
      </w:r>
      <w:r w:rsidRPr="00622304">
        <w:rPr>
          <w:b/>
        </w:rPr>
        <w:t xml:space="preserve">≤ A ≤ </w:t>
      </w:r>
      <w:r w:rsidRPr="00622304">
        <w:rPr>
          <w:rFonts w:eastAsia="SimSun" w:hint="eastAsia"/>
          <w:b/>
          <w:lang w:eastAsia="zh-CN"/>
        </w:rPr>
        <w:t>1</w:t>
      </w:r>
      <w:r w:rsidRPr="00622304">
        <w:rPr>
          <w:b/>
        </w:rPr>
        <w:t>.</w:t>
      </w:r>
    </w:p>
    <w:p w:rsidR="00622304" w:rsidRPr="00622304" w:rsidRDefault="00622304" w:rsidP="00622304">
      <w:pPr>
        <w:pStyle w:val="ListParagraph"/>
        <w:rPr>
          <w:b/>
          <w:lang w:val="en-GB"/>
        </w:rPr>
      </w:pPr>
    </w:p>
    <w:p w:rsidR="00622304" w:rsidRPr="00622304" w:rsidRDefault="00622304" w:rsidP="00622304">
      <w:pPr>
        <w:pStyle w:val="ListParagraph"/>
        <w:numPr>
          <w:ilvl w:val="0"/>
          <w:numId w:val="48"/>
        </w:numPr>
        <w:rPr>
          <w:b/>
          <w:lang w:val="en-GB"/>
        </w:rPr>
      </w:pPr>
      <w:r w:rsidRPr="00622304">
        <w:rPr>
          <w:b/>
          <w:lang w:val="en-GB"/>
        </w:rPr>
        <w:t>For 16QAM modulation order:</w:t>
      </w:r>
    </w:p>
    <w:p w:rsidR="00622304" w:rsidRPr="00622304" w:rsidRDefault="00622304" w:rsidP="00622304">
      <w:pPr>
        <w:ind w:left="360"/>
        <w:jc w:val="center"/>
        <w:rPr>
          <w:rFonts w:eastAsia="SimSun"/>
          <w:b/>
          <w:lang w:eastAsia="zh-CN"/>
        </w:rPr>
      </w:pPr>
      <w:r w:rsidRPr="00622304">
        <w:rPr>
          <w:b/>
        </w:rPr>
        <w:t>M</w:t>
      </w:r>
      <w:r w:rsidRPr="00622304">
        <w:rPr>
          <w:b/>
          <w:vertAlign w:val="subscript"/>
        </w:rPr>
        <w:t>A</w:t>
      </w:r>
      <w:r w:rsidRPr="00622304">
        <w:rPr>
          <w:b/>
        </w:rPr>
        <w:t xml:space="preserve"> =      6.5</w:t>
      </w:r>
      <w:r w:rsidRPr="00622304">
        <w:rPr>
          <w:b/>
        </w:rPr>
        <w:tab/>
      </w:r>
      <w:r w:rsidRPr="00622304">
        <w:rPr>
          <w:b/>
        </w:rPr>
        <w:tab/>
        <w:t xml:space="preserve">                    ; 0 ≤ A &lt; 0.</w:t>
      </w:r>
      <w:r w:rsidRPr="00622304">
        <w:rPr>
          <w:rFonts w:eastAsia="SimSun" w:hint="eastAsia"/>
          <w:b/>
          <w:lang w:eastAsia="zh-CN"/>
        </w:rPr>
        <w:t>1</w:t>
      </w:r>
    </w:p>
    <w:p w:rsidR="00622304" w:rsidRPr="00622304" w:rsidRDefault="00622304" w:rsidP="00622304">
      <w:pPr>
        <w:ind w:left="360"/>
        <w:jc w:val="center"/>
        <w:rPr>
          <w:rFonts w:eastAsia="SimSun"/>
          <w:b/>
          <w:lang w:eastAsia="zh-CN"/>
        </w:rPr>
      </w:pPr>
      <w:r w:rsidRPr="00622304">
        <w:rPr>
          <w:rFonts w:eastAsia="SimSun" w:hint="eastAsia"/>
          <w:b/>
          <w:lang w:eastAsia="zh-CN"/>
        </w:rPr>
        <w:t>8</w:t>
      </w:r>
      <w:r w:rsidRPr="00622304">
        <w:rPr>
          <w:b/>
        </w:rPr>
        <w:t xml:space="preserve"> - </w:t>
      </w:r>
      <w:r w:rsidRPr="00622304">
        <w:rPr>
          <w:rFonts w:eastAsia="SimSun"/>
          <w:b/>
          <w:lang w:eastAsia="zh-CN"/>
        </w:rPr>
        <w:t>15</w:t>
      </w:r>
      <w:r w:rsidRPr="00622304">
        <w:rPr>
          <w:b/>
        </w:rPr>
        <w:t xml:space="preserve">A </w:t>
      </w:r>
      <w:r w:rsidRPr="00622304">
        <w:rPr>
          <w:b/>
        </w:rPr>
        <w:tab/>
      </w:r>
      <w:r w:rsidRPr="00622304">
        <w:rPr>
          <w:b/>
        </w:rPr>
        <w:tab/>
        <w:t xml:space="preserve">      ; 0.</w:t>
      </w:r>
      <w:r w:rsidRPr="00622304">
        <w:rPr>
          <w:rFonts w:eastAsia="SimSun" w:hint="eastAsia"/>
          <w:b/>
          <w:lang w:eastAsia="zh-CN"/>
        </w:rPr>
        <w:t xml:space="preserve">1 </w:t>
      </w:r>
      <w:r w:rsidRPr="00622304">
        <w:rPr>
          <w:b/>
        </w:rPr>
        <w:t>≤ A &lt; 0.</w:t>
      </w:r>
      <w:r w:rsidRPr="00622304">
        <w:rPr>
          <w:rFonts w:eastAsia="SimSun" w:hint="eastAsia"/>
          <w:b/>
          <w:lang w:eastAsia="zh-CN"/>
        </w:rPr>
        <w:t>2</w:t>
      </w:r>
    </w:p>
    <w:p w:rsidR="00622304" w:rsidRPr="00622304" w:rsidRDefault="00622304" w:rsidP="00622304">
      <w:pPr>
        <w:ind w:left="360"/>
        <w:jc w:val="center"/>
        <w:rPr>
          <w:rFonts w:eastAsia="SimSun"/>
          <w:b/>
          <w:lang w:eastAsia="zh-CN"/>
        </w:rPr>
      </w:pPr>
      <w:r w:rsidRPr="00622304">
        <w:rPr>
          <w:rFonts w:eastAsia="SimSun" w:hint="eastAsia"/>
          <w:b/>
          <w:lang w:eastAsia="zh-CN"/>
        </w:rPr>
        <w:t>5.</w:t>
      </w:r>
      <w:r w:rsidRPr="00622304">
        <w:rPr>
          <w:rFonts w:eastAsia="SimSun"/>
          <w:b/>
          <w:lang w:eastAsia="zh-CN"/>
        </w:rPr>
        <w:t>8</w:t>
      </w:r>
      <w:r w:rsidRPr="00622304">
        <w:rPr>
          <w:b/>
        </w:rPr>
        <w:t xml:space="preserve"> – </w:t>
      </w:r>
      <w:r w:rsidRPr="00622304">
        <w:rPr>
          <w:rFonts w:eastAsia="SimSun" w:hint="eastAsia"/>
          <w:b/>
          <w:lang w:eastAsia="zh-CN"/>
        </w:rPr>
        <w:t>4</w:t>
      </w:r>
      <w:r w:rsidRPr="00622304">
        <w:rPr>
          <w:b/>
        </w:rPr>
        <w:t>A</w:t>
      </w:r>
      <w:r w:rsidRPr="00622304">
        <w:rPr>
          <w:b/>
        </w:rPr>
        <w:tab/>
      </w:r>
      <w:r w:rsidRPr="00622304">
        <w:rPr>
          <w:b/>
        </w:rPr>
        <w:tab/>
        <w:t xml:space="preserve">      ; 0.</w:t>
      </w:r>
      <w:r w:rsidRPr="00622304">
        <w:rPr>
          <w:rFonts w:eastAsia="SimSun" w:hint="eastAsia"/>
          <w:b/>
          <w:lang w:eastAsia="zh-CN"/>
        </w:rPr>
        <w:t xml:space="preserve">2 </w:t>
      </w:r>
      <w:r w:rsidRPr="00622304">
        <w:rPr>
          <w:b/>
        </w:rPr>
        <w:t>≤ A &lt; 0.</w:t>
      </w:r>
      <w:r w:rsidRPr="00622304">
        <w:rPr>
          <w:rFonts w:eastAsia="SimSun" w:hint="eastAsia"/>
          <w:b/>
          <w:lang w:eastAsia="zh-CN"/>
        </w:rPr>
        <w:t>7</w:t>
      </w:r>
    </w:p>
    <w:p w:rsidR="00622304" w:rsidRPr="00622304" w:rsidRDefault="00622304" w:rsidP="00622304">
      <w:pPr>
        <w:ind w:left="360"/>
        <w:jc w:val="center"/>
        <w:rPr>
          <w:b/>
        </w:rPr>
      </w:pPr>
      <w:r w:rsidRPr="00622304">
        <w:rPr>
          <w:rFonts w:eastAsia="SimSun"/>
          <w:b/>
          <w:lang w:eastAsia="zh-CN"/>
        </w:rPr>
        <w:t>3</w:t>
      </w:r>
      <w:r w:rsidRPr="00622304">
        <w:rPr>
          <w:b/>
        </w:rPr>
        <w:tab/>
      </w:r>
      <w:r w:rsidRPr="00622304">
        <w:rPr>
          <w:b/>
        </w:rPr>
        <w:tab/>
      </w:r>
      <w:r w:rsidRPr="00622304">
        <w:rPr>
          <w:b/>
        </w:rPr>
        <w:tab/>
      </w:r>
      <w:r w:rsidRPr="00622304">
        <w:rPr>
          <w:rFonts w:eastAsia="SimSun" w:hint="eastAsia"/>
          <w:b/>
          <w:lang w:eastAsia="zh-CN"/>
        </w:rPr>
        <w:t xml:space="preserve">      </w:t>
      </w:r>
      <w:r w:rsidRPr="00622304">
        <w:rPr>
          <w:b/>
        </w:rPr>
        <w:t>; 0.</w:t>
      </w:r>
      <w:r w:rsidRPr="00622304">
        <w:rPr>
          <w:rFonts w:eastAsia="SimSun" w:hint="eastAsia"/>
          <w:b/>
          <w:lang w:eastAsia="zh-CN"/>
        </w:rPr>
        <w:t>7</w:t>
      </w:r>
      <w:r w:rsidRPr="00622304">
        <w:rPr>
          <w:b/>
        </w:rPr>
        <w:t xml:space="preserve">≤ A ≤ </w:t>
      </w:r>
      <w:r w:rsidRPr="00622304">
        <w:rPr>
          <w:rFonts w:eastAsia="SimSun" w:hint="eastAsia"/>
          <w:b/>
          <w:lang w:eastAsia="zh-CN"/>
        </w:rPr>
        <w:t>1</w:t>
      </w:r>
      <w:r w:rsidRPr="00622304">
        <w:rPr>
          <w:b/>
        </w:rPr>
        <w:t>.</w:t>
      </w:r>
    </w:p>
    <w:p w:rsidR="00622304" w:rsidRPr="00622304" w:rsidRDefault="00622304" w:rsidP="00622304">
      <w:pPr>
        <w:rPr>
          <w:lang w:val="en-GB"/>
        </w:rPr>
      </w:pPr>
      <w:r>
        <w:rPr>
          <w:lang w:val="en-GB"/>
        </w:rPr>
        <w:t>For the case where control and data clusters are not adjacent.</w:t>
      </w:r>
    </w:p>
    <w:p w:rsidR="00622304" w:rsidRPr="008036FD" w:rsidRDefault="00622304" w:rsidP="00622304">
      <w:pPr>
        <w:rPr>
          <w:b/>
          <w:lang w:val="en-GB"/>
        </w:rPr>
      </w:pPr>
      <w:r w:rsidRPr="008036FD">
        <w:rPr>
          <w:b/>
          <w:u w:val="single"/>
          <w:lang w:val="en-GB"/>
        </w:rPr>
        <w:t xml:space="preserve">Proposal </w:t>
      </w:r>
      <w:r>
        <w:rPr>
          <w:b/>
          <w:u w:val="single"/>
          <w:lang w:val="en-GB"/>
        </w:rPr>
        <w:t>3</w:t>
      </w:r>
      <w:r w:rsidRPr="008036FD">
        <w:rPr>
          <w:b/>
          <w:u w:val="single"/>
          <w:lang w:val="en-GB"/>
        </w:rPr>
        <w:t>:</w:t>
      </w:r>
      <w:r w:rsidRPr="008036FD">
        <w:rPr>
          <w:b/>
          <w:lang w:val="en-GB"/>
        </w:rPr>
        <w:t xml:space="preserve"> RAN4 to adopt the same IBE requirement for single carrier V2X waveforms with adjacent control and data clusters to single carrier V2X waveforms with non-adjacent control and data clusters. The MPR for the latter case needed to be re-evaluated and adjusted if needed.</w:t>
      </w:r>
    </w:p>
    <w:p w:rsidR="00622304" w:rsidRPr="00622304" w:rsidRDefault="00622304" w:rsidP="00622304">
      <w:pPr>
        <w:rPr>
          <w:b/>
          <w:lang w:val="en-GB"/>
        </w:rPr>
      </w:pPr>
      <w:r w:rsidRPr="008036FD">
        <w:rPr>
          <w:b/>
          <w:u w:val="single"/>
          <w:lang w:val="en-GB"/>
        </w:rPr>
        <w:t>Proposal</w:t>
      </w:r>
      <w:r>
        <w:rPr>
          <w:b/>
          <w:u w:val="single"/>
          <w:lang w:val="en-GB"/>
        </w:rPr>
        <w:t xml:space="preserve"> 4</w:t>
      </w:r>
      <w:r w:rsidRPr="008036FD">
        <w:rPr>
          <w:b/>
          <w:u w:val="single"/>
          <w:lang w:val="en-GB"/>
        </w:rPr>
        <w:t>:</w:t>
      </w:r>
      <w:r w:rsidRPr="008036FD">
        <w:rPr>
          <w:b/>
          <w:lang w:val="en-GB"/>
        </w:rPr>
        <w:t xml:space="preserve"> RAN 4 to further study to needed MPR to supress the in channel IMD peaks for 2 carriers V2X CA waveforms with non-adjacent control and data clusters in each carrier.</w:t>
      </w:r>
    </w:p>
    <w:p w:rsidR="00AC1D3D" w:rsidRPr="00C97B98" w:rsidRDefault="00607454" w:rsidP="00607454">
      <w:pPr>
        <w:pStyle w:val="Heading1"/>
      </w:pPr>
      <w:r>
        <w:t>References</w:t>
      </w:r>
    </w:p>
    <w:p w:rsidR="00BC3380" w:rsidRPr="00553938" w:rsidRDefault="00592EA3" w:rsidP="00BC3380">
      <w:r w:rsidRPr="00553938">
        <w:t xml:space="preserve">[1] </w:t>
      </w:r>
      <w:r w:rsidR="00862D03" w:rsidRPr="00553938">
        <w:t>TS 36.101</w:t>
      </w:r>
      <w:r w:rsidR="00862D03" w:rsidRPr="00553938">
        <w:tab/>
      </w:r>
      <w:r w:rsidR="00553938">
        <w:t xml:space="preserve">  </w:t>
      </w:r>
      <w:r w:rsidR="00862D03" w:rsidRPr="00553938">
        <w:t>Evolved Universal Terrestrial Radio Access (E-UTRA); User Equipment (UE) radio transmission and reception</w:t>
      </w:r>
    </w:p>
    <w:p w:rsidR="00553938" w:rsidRPr="00EE36C2" w:rsidRDefault="00EE36C2" w:rsidP="00EE36C2">
      <w:pPr>
        <w:rPr>
          <w:rFonts w:eastAsia="Malgun Gothic" w:cs="Arial"/>
          <w:bCs/>
          <w:color w:val="000000"/>
          <w:sz w:val="20"/>
          <w:szCs w:val="20"/>
          <w:lang w:eastAsia="ko-KR"/>
        </w:rPr>
      </w:pPr>
      <w:r>
        <w:t>[2</w:t>
      </w:r>
      <w:r w:rsidR="00553938" w:rsidRPr="00553938">
        <w:t xml:space="preserve">] </w:t>
      </w:r>
      <w:r w:rsidRPr="00EE36C2">
        <w:t>R4-1714200</w:t>
      </w:r>
      <w:r>
        <w:t xml:space="preserve">   </w:t>
      </w:r>
      <w:r w:rsidRPr="00EE36C2">
        <w:rPr>
          <w:rFonts w:eastAsia="Malgun Gothic" w:cs="Arial"/>
          <w:bCs/>
          <w:color w:val="000000"/>
          <w:sz w:val="20"/>
          <w:szCs w:val="20"/>
          <w:lang w:eastAsia="ko-KR"/>
        </w:rPr>
        <w:t>WF on IBE requiremen</w:t>
      </w:r>
      <w:r>
        <w:rPr>
          <w:rFonts w:eastAsia="Malgun Gothic" w:cs="Arial"/>
          <w:bCs/>
          <w:color w:val="000000"/>
          <w:sz w:val="20"/>
          <w:szCs w:val="20"/>
          <w:lang w:eastAsia="ko-KR"/>
        </w:rPr>
        <w:t>t</w:t>
      </w:r>
      <w:r w:rsidRPr="00EE36C2">
        <w:rPr>
          <w:rFonts w:eastAsia="Malgun Gothic" w:cs="Arial"/>
          <w:bCs/>
          <w:color w:val="000000"/>
          <w:sz w:val="20"/>
          <w:szCs w:val="20"/>
          <w:lang w:eastAsia="ko-KR"/>
        </w:rPr>
        <w:t>s</w:t>
      </w:r>
      <w:r>
        <w:rPr>
          <w:rFonts w:eastAsia="Malgun Gothic" w:cs="Arial"/>
          <w:bCs/>
          <w:color w:val="000000"/>
          <w:sz w:val="20"/>
          <w:szCs w:val="20"/>
          <w:lang w:eastAsia="ko-KR"/>
        </w:rPr>
        <w:t xml:space="preserve">. </w:t>
      </w:r>
      <w:r w:rsidRPr="00EE36C2">
        <w:rPr>
          <w:rFonts w:eastAsia="Malgun Gothic" w:cs="Arial"/>
          <w:bCs/>
          <w:i/>
          <w:color w:val="000000"/>
          <w:sz w:val="20"/>
          <w:szCs w:val="20"/>
          <w:lang w:eastAsia="ko-KR"/>
        </w:rPr>
        <w:t>Huawei</w:t>
      </w:r>
    </w:p>
    <w:p w:rsidR="00553938" w:rsidRPr="00612714" w:rsidRDefault="00553938" w:rsidP="00862D03">
      <w:pPr>
        <w:rPr>
          <w:rFonts w:ascii="Arial" w:hAnsi="Arial" w:cs="Arial"/>
          <w:color w:val="000000"/>
          <w:sz w:val="18"/>
          <w:szCs w:val="18"/>
        </w:rPr>
      </w:pPr>
    </w:p>
    <w:sectPr w:rsidR="00553938" w:rsidRPr="00612714" w:rsidSect="009A189D">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1E2" w:rsidRDefault="00CE71E2">
      <w:pPr>
        <w:spacing w:after="0" w:line="240" w:lineRule="auto"/>
      </w:pPr>
      <w:r>
        <w:separator/>
      </w:r>
    </w:p>
  </w:endnote>
  <w:endnote w:type="continuationSeparator" w:id="0">
    <w:p w:rsidR="00CE71E2" w:rsidRDefault="00CE7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E8A" w:rsidRDefault="008E4E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8E4E8A" w:rsidRDefault="008E4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E8A" w:rsidRDefault="008E4E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4883">
      <w:rPr>
        <w:rStyle w:val="PageNumber"/>
      </w:rPr>
      <w:t>1</w:t>
    </w:r>
    <w:r>
      <w:rPr>
        <w:rStyle w:val="PageNumber"/>
      </w:rPr>
      <w:fldChar w:fldCharType="end"/>
    </w:r>
  </w:p>
  <w:p w:rsidR="008E4E8A" w:rsidRDefault="008E4E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1E2" w:rsidRDefault="00CE71E2">
      <w:pPr>
        <w:spacing w:after="0" w:line="240" w:lineRule="auto"/>
      </w:pPr>
      <w:r>
        <w:separator/>
      </w:r>
    </w:p>
  </w:footnote>
  <w:footnote w:type="continuationSeparator" w:id="0">
    <w:p w:rsidR="00CE71E2" w:rsidRDefault="00CE71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34BF8"/>
    <w:multiLevelType w:val="hybridMultilevel"/>
    <w:tmpl w:val="587E6046"/>
    <w:lvl w:ilvl="0" w:tplc="0409000F">
      <w:start w:val="1"/>
      <w:numFmt w:val="decimal"/>
      <w:lvlText w:val="%1."/>
      <w:lvlJc w:val="left"/>
      <w:pPr>
        <w:ind w:left="3648" w:hanging="360"/>
      </w:pPr>
    </w:lvl>
    <w:lvl w:ilvl="1" w:tplc="04090019" w:tentative="1">
      <w:start w:val="1"/>
      <w:numFmt w:val="lowerLetter"/>
      <w:lvlText w:val="%2."/>
      <w:lvlJc w:val="left"/>
      <w:pPr>
        <w:ind w:left="4368" w:hanging="360"/>
      </w:pPr>
    </w:lvl>
    <w:lvl w:ilvl="2" w:tplc="0409001B" w:tentative="1">
      <w:start w:val="1"/>
      <w:numFmt w:val="lowerRoman"/>
      <w:lvlText w:val="%3."/>
      <w:lvlJc w:val="right"/>
      <w:pPr>
        <w:ind w:left="5088" w:hanging="180"/>
      </w:pPr>
    </w:lvl>
    <w:lvl w:ilvl="3" w:tplc="0409000F" w:tentative="1">
      <w:start w:val="1"/>
      <w:numFmt w:val="decimal"/>
      <w:lvlText w:val="%4."/>
      <w:lvlJc w:val="left"/>
      <w:pPr>
        <w:ind w:left="5808" w:hanging="360"/>
      </w:pPr>
    </w:lvl>
    <w:lvl w:ilvl="4" w:tplc="04090019" w:tentative="1">
      <w:start w:val="1"/>
      <w:numFmt w:val="lowerLetter"/>
      <w:lvlText w:val="%5."/>
      <w:lvlJc w:val="left"/>
      <w:pPr>
        <w:ind w:left="6528" w:hanging="360"/>
      </w:pPr>
    </w:lvl>
    <w:lvl w:ilvl="5" w:tplc="0409001B" w:tentative="1">
      <w:start w:val="1"/>
      <w:numFmt w:val="lowerRoman"/>
      <w:lvlText w:val="%6."/>
      <w:lvlJc w:val="right"/>
      <w:pPr>
        <w:ind w:left="7248" w:hanging="180"/>
      </w:pPr>
    </w:lvl>
    <w:lvl w:ilvl="6" w:tplc="0409000F" w:tentative="1">
      <w:start w:val="1"/>
      <w:numFmt w:val="decimal"/>
      <w:lvlText w:val="%7."/>
      <w:lvlJc w:val="left"/>
      <w:pPr>
        <w:ind w:left="7968" w:hanging="360"/>
      </w:pPr>
    </w:lvl>
    <w:lvl w:ilvl="7" w:tplc="04090019" w:tentative="1">
      <w:start w:val="1"/>
      <w:numFmt w:val="lowerLetter"/>
      <w:lvlText w:val="%8."/>
      <w:lvlJc w:val="left"/>
      <w:pPr>
        <w:ind w:left="8688" w:hanging="360"/>
      </w:pPr>
    </w:lvl>
    <w:lvl w:ilvl="8" w:tplc="0409001B" w:tentative="1">
      <w:start w:val="1"/>
      <w:numFmt w:val="lowerRoman"/>
      <w:lvlText w:val="%9."/>
      <w:lvlJc w:val="right"/>
      <w:pPr>
        <w:ind w:left="9408" w:hanging="180"/>
      </w:pPr>
    </w:lvl>
  </w:abstractNum>
  <w:abstractNum w:abstractNumId="4"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F1CB4"/>
    <w:multiLevelType w:val="hybridMultilevel"/>
    <w:tmpl w:val="9428548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C745CF3"/>
    <w:multiLevelType w:val="hybridMultilevel"/>
    <w:tmpl w:val="28FEE166"/>
    <w:lvl w:ilvl="0" w:tplc="C62AC290">
      <w:start w:val="1"/>
      <w:numFmt w:val="bullet"/>
      <w:lvlText w:val="•"/>
      <w:lvlJc w:val="left"/>
      <w:pPr>
        <w:tabs>
          <w:tab w:val="num" w:pos="720"/>
        </w:tabs>
        <w:ind w:left="720" w:hanging="360"/>
      </w:pPr>
      <w:rPr>
        <w:rFonts w:ascii="Arial" w:hAnsi="Arial" w:hint="default"/>
      </w:rPr>
    </w:lvl>
    <w:lvl w:ilvl="1" w:tplc="BA1A031A">
      <w:numFmt w:val="bullet"/>
      <w:lvlText w:val="–"/>
      <w:lvlJc w:val="left"/>
      <w:pPr>
        <w:tabs>
          <w:tab w:val="num" w:pos="1440"/>
        </w:tabs>
        <w:ind w:left="1440" w:hanging="360"/>
      </w:pPr>
      <w:rPr>
        <w:rFonts w:ascii="Arial" w:hAnsi="Arial" w:hint="default"/>
      </w:rPr>
    </w:lvl>
    <w:lvl w:ilvl="2" w:tplc="791A7C04" w:tentative="1">
      <w:start w:val="1"/>
      <w:numFmt w:val="bullet"/>
      <w:lvlText w:val="•"/>
      <w:lvlJc w:val="left"/>
      <w:pPr>
        <w:tabs>
          <w:tab w:val="num" w:pos="2160"/>
        </w:tabs>
        <w:ind w:left="2160" w:hanging="360"/>
      </w:pPr>
      <w:rPr>
        <w:rFonts w:ascii="Arial" w:hAnsi="Arial" w:hint="default"/>
      </w:rPr>
    </w:lvl>
    <w:lvl w:ilvl="3" w:tplc="3072DE86" w:tentative="1">
      <w:start w:val="1"/>
      <w:numFmt w:val="bullet"/>
      <w:lvlText w:val="•"/>
      <w:lvlJc w:val="left"/>
      <w:pPr>
        <w:tabs>
          <w:tab w:val="num" w:pos="2880"/>
        </w:tabs>
        <w:ind w:left="2880" w:hanging="360"/>
      </w:pPr>
      <w:rPr>
        <w:rFonts w:ascii="Arial" w:hAnsi="Arial" w:hint="default"/>
      </w:rPr>
    </w:lvl>
    <w:lvl w:ilvl="4" w:tplc="49C8045C" w:tentative="1">
      <w:start w:val="1"/>
      <w:numFmt w:val="bullet"/>
      <w:lvlText w:val="•"/>
      <w:lvlJc w:val="left"/>
      <w:pPr>
        <w:tabs>
          <w:tab w:val="num" w:pos="3600"/>
        </w:tabs>
        <w:ind w:left="3600" w:hanging="360"/>
      </w:pPr>
      <w:rPr>
        <w:rFonts w:ascii="Arial" w:hAnsi="Arial" w:hint="default"/>
      </w:rPr>
    </w:lvl>
    <w:lvl w:ilvl="5" w:tplc="C11A871A" w:tentative="1">
      <w:start w:val="1"/>
      <w:numFmt w:val="bullet"/>
      <w:lvlText w:val="•"/>
      <w:lvlJc w:val="left"/>
      <w:pPr>
        <w:tabs>
          <w:tab w:val="num" w:pos="4320"/>
        </w:tabs>
        <w:ind w:left="4320" w:hanging="360"/>
      </w:pPr>
      <w:rPr>
        <w:rFonts w:ascii="Arial" w:hAnsi="Arial" w:hint="default"/>
      </w:rPr>
    </w:lvl>
    <w:lvl w:ilvl="6" w:tplc="5398622E" w:tentative="1">
      <w:start w:val="1"/>
      <w:numFmt w:val="bullet"/>
      <w:lvlText w:val="•"/>
      <w:lvlJc w:val="left"/>
      <w:pPr>
        <w:tabs>
          <w:tab w:val="num" w:pos="5040"/>
        </w:tabs>
        <w:ind w:left="5040" w:hanging="360"/>
      </w:pPr>
      <w:rPr>
        <w:rFonts w:ascii="Arial" w:hAnsi="Arial" w:hint="default"/>
      </w:rPr>
    </w:lvl>
    <w:lvl w:ilvl="7" w:tplc="1EDAFACE" w:tentative="1">
      <w:start w:val="1"/>
      <w:numFmt w:val="bullet"/>
      <w:lvlText w:val="•"/>
      <w:lvlJc w:val="left"/>
      <w:pPr>
        <w:tabs>
          <w:tab w:val="num" w:pos="5760"/>
        </w:tabs>
        <w:ind w:left="5760" w:hanging="360"/>
      </w:pPr>
      <w:rPr>
        <w:rFonts w:ascii="Arial" w:hAnsi="Arial" w:hint="default"/>
      </w:rPr>
    </w:lvl>
    <w:lvl w:ilvl="8" w:tplc="5B8463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97BB7"/>
    <w:multiLevelType w:val="hybridMultilevel"/>
    <w:tmpl w:val="D9FE80B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D6562"/>
    <w:multiLevelType w:val="hybridMultilevel"/>
    <w:tmpl w:val="6B40DE7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87260"/>
    <w:multiLevelType w:val="hybridMultilevel"/>
    <w:tmpl w:val="4A7E4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E4FC5"/>
    <w:multiLevelType w:val="hybridMultilevel"/>
    <w:tmpl w:val="03DEC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70420F"/>
    <w:multiLevelType w:val="hybridMultilevel"/>
    <w:tmpl w:val="1B6A00C6"/>
    <w:lvl w:ilvl="0" w:tplc="E9564F88">
      <w:start w:val="1"/>
      <w:numFmt w:val="bullet"/>
      <w:lvlText w:val="•"/>
      <w:lvlJc w:val="left"/>
      <w:pPr>
        <w:tabs>
          <w:tab w:val="num" w:pos="720"/>
        </w:tabs>
        <w:ind w:left="720" w:hanging="360"/>
      </w:pPr>
      <w:rPr>
        <w:rFonts w:ascii="Arial" w:hAnsi="Arial" w:hint="default"/>
      </w:rPr>
    </w:lvl>
    <w:lvl w:ilvl="1" w:tplc="740663D0">
      <w:numFmt w:val="bullet"/>
      <w:lvlText w:val="–"/>
      <w:lvlJc w:val="left"/>
      <w:pPr>
        <w:tabs>
          <w:tab w:val="num" w:pos="1440"/>
        </w:tabs>
        <w:ind w:left="1440" w:hanging="360"/>
      </w:pPr>
      <w:rPr>
        <w:rFonts w:ascii="Arial" w:hAnsi="Arial" w:hint="default"/>
      </w:rPr>
    </w:lvl>
    <w:lvl w:ilvl="2" w:tplc="8890858A" w:tentative="1">
      <w:start w:val="1"/>
      <w:numFmt w:val="bullet"/>
      <w:lvlText w:val="•"/>
      <w:lvlJc w:val="left"/>
      <w:pPr>
        <w:tabs>
          <w:tab w:val="num" w:pos="2160"/>
        </w:tabs>
        <w:ind w:left="2160" w:hanging="360"/>
      </w:pPr>
      <w:rPr>
        <w:rFonts w:ascii="Arial" w:hAnsi="Arial" w:hint="default"/>
      </w:rPr>
    </w:lvl>
    <w:lvl w:ilvl="3" w:tplc="8EA60392" w:tentative="1">
      <w:start w:val="1"/>
      <w:numFmt w:val="bullet"/>
      <w:lvlText w:val="•"/>
      <w:lvlJc w:val="left"/>
      <w:pPr>
        <w:tabs>
          <w:tab w:val="num" w:pos="2880"/>
        </w:tabs>
        <w:ind w:left="2880" w:hanging="360"/>
      </w:pPr>
      <w:rPr>
        <w:rFonts w:ascii="Arial" w:hAnsi="Arial" w:hint="default"/>
      </w:rPr>
    </w:lvl>
    <w:lvl w:ilvl="4" w:tplc="7214EE5C" w:tentative="1">
      <w:start w:val="1"/>
      <w:numFmt w:val="bullet"/>
      <w:lvlText w:val="•"/>
      <w:lvlJc w:val="left"/>
      <w:pPr>
        <w:tabs>
          <w:tab w:val="num" w:pos="3600"/>
        </w:tabs>
        <w:ind w:left="3600" w:hanging="360"/>
      </w:pPr>
      <w:rPr>
        <w:rFonts w:ascii="Arial" w:hAnsi="Arial" w:hint="default"/>
      </w:rPr>
    </w:lvl>
    <w:lvl w:ilvl="5" w:tplc="EEC6A976" w:tentative="1">
      <w:start w:val="1"/>
      <w:numFmt w:val="bullet"/>
      <w:lvlText w:val="•"/>
      <w:lvlJc w:val="left"/>
      <w:pPr>
        <w:tabs>
          <w:tab w:val="num" w:pos="4320"/>
        </w:tabs>
        <w:ind w:left="4320" w:hanging="360"/>
      </w:pPr>
      <w:rPr>
        <w:rFonts w:ascii="Arial" w:hAnsi="Arial" w:hint="default"/>
      </w:rPr>
    </w:lvl>
    <w:lvl w:ilvl="6" w:tplc="8056D9DA" w:tentative="1">
      <w:start w:val="1"/>
      <w:numFmt w:val="bullet"/>
      <w:lvlText w:val="•"/>
      <w:lvlJc w:val="left"/>
      <w:pPr>
        <w:tabs>
          <w:tab w:val="num" w:pos="5040"/>
        </w:tabs>
        <w:ind w:left="5040" w:hanging="360"/>
      </w:pPr>
      <w:rPr>
        <w:rFonts w:ascii="Arial" w:hAnsi="Arial" w:hint="default"/>
      </w:rPr>
    </w:lvl>
    <w:lvl w:ilvl="7" w:tplc="FFF6060E" w:tentative="1">
      <w:start w:val="1"/>
      <w:numFmt w:val="bullet"/>
      <w:lvlText w:val="•"/>
      <w:lvlJc w:val="left"/>
      <w:pPr>
        <w:tabs>
          <w:tab w:val="num" w:pos="5760"/>
        </w:tabs>
        <w:ind w:left="5760" w:hanging="360"/>
      </w:pPr>
      <w:rPr>
        <w:rFonts w:ascii="Arial" w:hAnsi="Arial" w:hint="default"/>
      </w:rPr>
    </w:lvl>
    <w:lvl w:ilvl="8" w:tplc="89B09D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E37ED9"/>
    <w:multiLevelType w:val="hybridMultilevel"/>
    <w:tmpl w:val="56022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5393B66"/>
    <w:multiLevelType w:val="hybridMultilevel"/>
    <w:tmpl w:val="D9FE8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1F095D"/>
    <w:multiLevelType w:val="hybridMultilevel"/>
    <w:tmpl w:val="C9242062"/>
    <w:lvl w:ilvl="0" w:tplc="0409000F">
      <w:start w:val="1"/>
      <w:numFmt w:val="decimal"/>
      <w:lvlText w:val="%1."/>
      <w:lvlJc w:val="left"/>
      <w:pPr>
        <w:ind w:left="6528" w:hanging="360"/>
      </w:pPr>
    </w:lvl>
    <w:lvl w:ilvl="1" w:tplc="04090019" w:tentative="1">
      <w:start w:val="1"/>
      <w:numFmt w:val="lowerLetter"/>
      <w:lvlText w:val="%2."/>
      <w:lvlJc w:val="left"/>
      <w:pPr>
        <w:ind w:left="7248" w:hanging="360"/>
      </w:pPr>
    </w:lvl>
    <w:lvl w:ilvl="2" w:tplc="0409001B" w:tentative="1">
      <w:start w:val="1"/>
      <w:numFmt w:val="lowerRoman"/>
      <w:lvlText w:val="%3."/>
      <w:lvlJc w:val="right"/>
      <w:pPr>
        <w:ind w:left="7968" w:hanging="180"/>
      </w:pPr>
    </w:lvl>
    <w:lvl w:ilvl="3" w:tplc="0409000F" w:tentative="1">
      <w:start w:val="1"/>
      <w:numFmt w:val="decimal"/>
      <w:lvlText w:val="%4."/>
      <w:lvlJc w:val="left"/>
      <w:pPr>
        <w:ind w:left="8688" w:hanging="360"/>
      </w:pPr>
    </w:lvl>
    <w:lvl w:ilvl="4" w:tplc="04090019" w:tentative="1">
      <w:start w:val="1"/>
      <w:numFmt w:val="lowerLetter"/>
      <w:lvlText w:val="%5."/>
      <w:lvlJc w:val="left"/>
      <w:pPr>
        <w:ind w:left="9408" w:hanging="360"/>
      </w:pPr>
    </w:lvl>
    <w:lvl w:ilvl="5" w:tplc="0409001B" w:tentative="1">
      <w:start w:val="1"/>
      <w:numFmt w:val="lowerRoman"/>
      <w:lvlText w:val="%6."/>
      <w:lvlJc w:val="right"/>
      <w:pPr>
        <w:ind w:left="10128" w:hanging="180"/>
      </w:pPr>
    </w:lvl>
    <w:lvl w:ilvl="6" w:tplc="0409000F" w:tentative="1">
      <w:start w:val="1"/>
      <w:numFmt w:val="decimal"/>
      <w:lvlText w:val="%7."/>
      <w:lvlJc w:val="left"/>
      <w:pPr>
        <w:ind w:left="10848" w:hanging="360"/>
      </w:pPr>
    </w:lvl>
    <w:lvl w:ilvl="7" w:tplc="04090019" w:tentative="1">
      <w:start w:val="1"/>
      <w:numFmt w:val="lowerLetter"/>
      <w:lvlText w:val="%8."/>
      <w:lvlJc w:val="left"/>
      <w:pPr>
        <w:ind w:left="11568" w:hanging="360"/>
      </w:pPr>
    </w:lvl>
    <w:lvl w:ilvl="8" w:tplc="0409001B" w:tentative="1">
      <w:start w:val="1"/>
      <w:numFmt w:val="lowerRoman"/>
      <w:lvlText w:val="%9."/>
      <w:lvlJc w:val="right"/>
      <w:pPr>
        <w:ind w:left="12288" w:hanging="180"/>
      </w:pPr>
    </w:lvl>
  </w:abstractNum>
  <w:abstractNum w:abstractNumId="36" w15:restartNumberingAfterBreak="0">
    <w:nsid w:val="57650FD4"/>
    <w:multiLevelType w:val="hybridMultilevel"/>
    <w:tmpl w:val="03DEC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6F6E1612"/>
    <w:multiLevelType w:val="hybridMultilevel"/>
    <w:tmpl w:val="E4D08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42"/>
  </w:num>
  <w:num w:numId="3">
    <w:abstractNumId w:val="15"/>
  </w:num>
  <w:num w:numId="4">
    <w:abstractNumId w:val="40"/>
  </w:num>
  <w:num w:numId="5">
    <w:abstractNumId w:val="20"/>
  </w:num>
  <w:num w:numId="6">
    <w:abstractNumId w:val="4"/>
  </w:num>
  <w:num w:numId="7">
    <w:abstractNumId w:val="11"/>
  </w:num>
  <w:num w:numId="8">
    <w:abstractNumId w:val="5"/>
  </w:num>
  <w:num w:numId="9">
    <w:abstractNumId w:val="21"/>
  </w:num>
  <w:num w:numId="10">
    <w:abstractNumId w:val="2"/>
  </w:num>
  <w:num w:numId="11">
    <w:abstractNumId w:val="29"/>
  </w:num>
  <w:num w:numId="12">
    <w:abstractNumId w:val="12"/>
  </w:num>
  <w:num w:numId="13">
    <w:abstractNumId w:val="32"/>
  </w:num>
  <w:num w:numId="14">
    <w:abstractNumId w:val="46"/>
  </w:num>
  <w:num w:numId="15">
    <w:abstractNumId w:val="18"/>
  </w:num>
  <w:num w:numId="16">
    <w:abstractNumId w:val="16"/>
  </w:num>
  <w:num w:numId="17">
    <w:abstractNumId w:val="25"/>
  </w:num>
  <w:num w:numId="18">
    <w:abstractNumId w:val="13"/>
  </w:num>
  <w:num w:numId="19">
    <w:abstractNumId w:val="17"/>
  </w:num>
  <w:num w:numId="20">
    <w:abstractNumId w:val="23"/>
  </w:num>
  <w:num w:numId="21">
    <w:abstractNumId w:val="1"/>
  </w:num>
  <w:num w:numId="22">
    <w:abstractNumId w:val="8"/>
  </w:num>
  <w:num w:numId="23">
    <w:abstractNumId w:val="31"/>
  </w:num>
  <w:num w:numId="24">
    <w:abstractNumId w:val="33"/>
  </w:num>
  <w:num w:numId="25">
    <w:abstractNumId w:val="44"/>
  </w:num>
  <w:num w:numId="26">
    <w:abstractNumId w:val="0"/>
  </w:num>
  <w:num w:numId="27">
    <w:abstractNumId w:val="9"/>
  </w:num>
  <w:num w:numId="28">
    <w:abstractNumId w:val="28"/>
  </w:num>
  <w:num w:numId="29">
    <w:abstractNumId w:val="47"/>
  </w:num>
  <w:num w:numId="30">
    <w:abstractNumId w:val="41"/>
  </w:num>
  <w:num w:numId="31">
    <w:abstractNumId w:val="38"/>
  </w:num>
  <w:num w:numId="32">
    <w:abstractNumId w:val="39"/>
  </w:num>
  <w:num w:numId="33">
    <w:abstractNumId w:val="24"/>
  </w:num>
  <w:num w:numId="34">
    <w:abstractNumId w:val="37"/>
  </w:num>
  <w:num w:numId="35">
    <w:abstractNumId w:val="43"/>
  </w:num>
  <w:num w:numId="36">
    <w:abstractNumId w:val="19"/>
  </w:num>
  <w:num w:numId="37">
    <w:abstractNumId w:val="45"/>
  </w:num>
  <w:num w:numId="38">
    <w:abstractNumId w:val="6"/>
  </w:num>
  <w:num w:numId="39">
    <w:abstractNumId w:val="3"/>
  </w:num>
  <w:num w:numId="40">
    <w:abstractNumId w:val="35"/>
  </w:num>
  <w:num w:numId="41">
    <w:abstractNumId w:val="14"/>
  </w:num>
  <w:num w:numId="42">
    <w:abstractNumId w:val="10"/>
  </w:num>
  <w:num w:numId="43">
    <w:abstractNumId w:val="34"/>
  </w:num>
  <w:num w:numId="44">
    <w:abstractNumId w:val="30"/>
  </w:num>
  <w:num w:numId="45">
    <w:abstractNumId w:val="7"/>
  </w:num>
  <w:num w:numId="46">
    <w:abstractNumId w:val="26"/>
  </w:num>
  <w:num w:numId="47">
    <w:abstractNumId w:val="2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41DF"/>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1E9B"/>
    <w:rsid w:val="00062645"/>
    <w:rsid w:val="00062663"/>
    <w:rsid w:val="00063045"/>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2258"/>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758"/>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77774"/>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42C3"/>
    <w:rsid w:val="0032486C"/>
    <w:rsid w:val="0032518C"/>
    <w:rsid w:val="00327300"/>
    <w:rsid w:val="0032755D"/>
    <w:rsid w:val="00332705"/>
    <w:rsid w:val="00332B8A"/>
    <w:rsid w:val="00333753"/>
    <w:rsid w:val="00335E04"/>
    <w:rsid w:val="00335F9A"/>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3373"/>
    <w:rsid w:val="00364EDD"/>
    <w:rsid w:val="00365235"/>
    <w:rsid w:val="003653AC"/>
    <w:rsid w:val="00365A27"/>
    <w:rsid w:val="003666C0"/>
    <w:rsid w:val="0036687B"/>
    <w:rsid w:val="00370EEA"/>
    <w:rsid w:val="00372286"/>
    <w:rsid w:val="00372DFC"/>
    <w:rsid w:val="003730B8"/>
    <w:rsid w:val="003738A9"/>
    <w:rsid w:val="00374A55"/>
    <w:rsid w:val="00375779"/>
    <w:rsid w:val="003834EA"/>
    <w:rsid w:val="00386C4A"/>
    <w:rsid w:val="00390017"/>
    <w:rsid w:val="003914B9"/>
    <w:rsid w:val="00395F82"/>
    <w:rsid w:val="003A3119"/>
    <w:rsid w:val="003A3316"/>
    <w:rsid w:val="003A42B2"/>
    <w:rsid w:val="003A5DA9"/>
    <w:rsid w:val="003A65E3"/>
    <w:rsid w:val="003A72CB"/>
    <w:rsid w:val="003B0DD6"/>
    <w:rsid w:val="003B16F6"/>
    <w:rsid w:val="003B1C81"/>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6FA"/>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883"/>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B6D4F"/>
    <w:rsid w:val="004C2A43"/>
    <w:rsid w:val="004C50BE"/>
    <w:rsid w:val="004C550C"/>
    <w:rsid w:val="004C5597"/>
    <w:rsid w:val="004C55DE"/>
    <w:rsid w:val="004D0430"/>
    <w:rsid w:val="004D2179"/>
    <w:rsid w:val="004D27DD"/>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938"/>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A7D39"/>
    <w:rsid w:val="005B0557"/>
    <w:rsid w:val="005B2004"/>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AD3"/>
    <w:rsid w:val="005E2C44"/>
    <w:rsid w:val="005E3CE1"/>
    <w:rsid w:val="005E4A7E"/>
    <w:rsid w:val="005F0F15"/>
    <w:rsid w:val="005F2DC1"/>
    <w:rsid w:val="005F694A"/>
    <w:rsid w:val="00602C5F"/>
    <w:rsid w:val="0060561B"/>
    <w:rsid w:val="00607454"/>
    <w:rsid w:val="006079ED"/>
    <w:rsid w:val="00607A54"/>
    <w:rsid w:val="00611034"/>
    <w:rsid w:val="00612714"/>
    <w:rsid w:val="0061392A"/>
    <w:rsid w:val="00622304"/>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24BB"/>
    <w:rsid w:val="00676047"/>
    <w:rsid w:val="0067689B"/>
    <w:rsid w:val="00681A87"/>
    <w:rsid w:val="00682EBF"/>
    <w:rsid w:val="00683910"/>
    <w:rsid w:val="006861B3"/>
    <w:rsid w:val="00687CAE"/>
    <w:rsid w:val="00690E5D"/>
    <w:rsid w:val="006911E9"/>
    <w:rsid w:val="00692491"/>
    <w:rsid w:val="006A0E3B"/>
    <w:rsid w:val="006A15B8"/>
    <w:rsid w:val="006A19AC"/>
    <w:rsid w:val="006A297C"/>
    <w:rsid w:val="006A3581"/>
    <w:rsid w:val="006A3DFE"/>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4699"/>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2437"/>
    <w:rsid w:val="007C4336"/>
    <w:rsid w:val="007C7ED8"/>
    <w:rsid w:val="007C7F8A"/>
    <w:rsid w:val="007D530D"/>
    <w:rsid w:val="007D5C9E"/>
    <w:rsid w:val="007D6000"/>
    <w:rsid w:val="007D767E"/>
    <w:rsid w:val="007D7C89"/>
    <w:rsid w:val="007E158B"/>
    <w:rsid w:val="007E4269"/>
    <w:rsid w:val="007E5867"/>
    <w:rsid w:val="007E76C9"/>
    <w:rsid w:val="007F0ABF"/>
    <w:rsid w:val="007F0DBE"/>
    <w:rsid w:val="007F2483"/>
    <w:rsid w:val="007F3030"/>
    <w:rsid w:val="007F7024"/>
    <w:rsid w:val="008034F8"/>
    <w:rsid w:val="008036FD"/>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38B3"/>
    <w:rsid w:val="008558CA"/>
    <w:rsid w:val="00857EE9"/>
    <w:rsid w:val="008607C0"/>
    <w:rsid w:val="00862D03"/>
    <w:rsid w:val="00866134"/>
    <w:rsid w:val="00866C16"/>
    <w:rsid w:val="00870F86"/>
    <w:rsid w:val="00873538"/>
    <w:rsid w:val="00880B3A"/>
    <w:rsid w:val="00880F30"/>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5D39"/>
    <w:rsid w:val="008D67FD"/>
    <w:rsid w:val="008E09CE"/>
    <w:rsid w:val="008E21CF"/>
    <w:rsid w:val="008E381C"/>
    <w:rsid w:val="008E3A0E"/>
    <w:rsid w:val="008E4E8A"/>
    <w:rsid w:val="008E6EBC"/>
    <w:rsid w:val="008E7BF7"/>
    <w:rsid w:val="008E7EF4"/>
    <w:rsid w:val="008F07EB"/>
    <w:rsid w:val="008F0C1E"/>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6F78"/>
    <w:rsid w:val="00917FE8"/>
    <w:rsid w:val="009217E2"/>
    <w:rsid w:val="00922F86"/>
    <w:rsid w:val="009230CC"/>
    <w:rsid w:val="00924A3D"/>
    <w:rsid w:val="00926142"/>
    <w:rsid w:val="009265EF"/>
    <w:rsid w:val="00932276"/>
    <w:rsid w:val="00932E88"/>
    <w:rsid w:val="00933E72"/>
    <w:rsid w:val="00937B9E"/>
    <w:rsid w:val="00937DB4"/>
    <w:rsid w:val="009539F1"/>
    <w:rsid w:val="009561D2"/>
    <w:rsid w:val="009568AD"/>
    <w:rsid w:val="00964121"/>
    <w:rsid w:val="0096454F"/>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870"/>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44CD8"/>
    <w:rsid w:val="00A55156"/>
    <w:rsid w:val="00A5784D"/>
    <w:rsid w:val="00A67A7A"/>
    <w:rsid w:val="00A70365"/>
    <w:rsid w:val="00A70E29"/>
    <w:rsid w:val="00A722E9"/>
    <w:rsid w:val="00A77E3E"/>
    <w:rsid w:val="00A822D9"/>
    <w:rsid w:val="00A83753"/>
    <w:rsid w:val="00A83949"/>
    <w:rsid w:val="00A871A1"/>
    <w:rsid w:val="00A87ED2"/>
    <w:rsid w:val="00A92528"/>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B0088B"/>
    <w:rsid w:val="00B01262"/>
    <w:rsid w:val="00B01989"/>
    <w:rsid w:val="00B024F4"/>
    <w:rsid w:val="00B02C0C"/>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466"/>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C4B3D"/>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27AA"/>
    <w:rsid w:val="00C8353C"/>
    <w:rsid w:val="00C8376C"/>
    <w:rsid w:val="00C84A17"/>
    <w:rsid w:val="00C853E1"/>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E71E2"/>
    <w:rsid w:val="00CE7317"/>
    <w:rsid w:val="00CF00DE"/>
    <w:rsid w:val="00CF34E2"/>
    <w:rsid w:val="00CF5179"/>
    <w:rsid w:val="00CF70A1"/>
    <w:rsid w:val="00D003BA"/>
    <w:rsid w:val="00D0104B"/>
    <w:rsid w:val="00D02628"/>
    <w:rsid w:val="00D0470A"/>
    <w:rsid w:val="00D07260"/>
    <w:rsid w:val="00D10CAA"/>
    <w:rsid w:val="00D1386C"/>
    <w:rsid w:val="00D143ED"/>
    <w:rsid w:val="00D15BBC"/>
    <w:rsid w:val="00D17C93"/>
    <w:rsid w:val="00D20D92"/>
    <w:rsid w:val="00D21DF6"/>
    <w:rsid w:val="00D22794"/>
    <w:rsid w:val="00D24D0E"/>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66C34"/>
    <w:rsid w:val="00D701A2"/>
    <w:rsid w:val="00D717A8"/>
    <w:rsid w:val="00D718FD"/>
    <w:rsid w:val="00D72DFC"/>
    <w:rsid w:val="00D74B83"/>
    <w:rsid w:val="00D75B28"/>
    <w:rsid w:val="00D81D26"/>
    <w:rsid w:val="00D85E3F"/>
    <w:rsid w:val="00D87DFB"/>
    <w:rsid w:val="00D94EE3"/>
    <w:rsid w:val="00D96CB4"/>
    <w:rsid w:val="00DA0051"/>
    <w:rsid w:val="00DA0A93"/>
    <w:rsid w:val="00DA4C50"/>
    <w:rsid w:val="00DA6124"/>
    <w:rsid w:val="00DA6222"/>
    <w:rsid w:val="00DA71B8"/>
    <w:rsid w:val="00DB2B4D"/>
    <w:rsid w:val="00DB3801"/>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3A52"/>
    <w:rsid w:val="00DE3CA3"/>
    <w:rsid w:val="00DE5ACA"/>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310"/>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01FA"/>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5E27"/>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6CD"/>
    <w:rsid w:val="00EE3628"/>
    <w:rsid w:val="00EE36C2"/>
    <w:rsid w:val="00EE46D3"/>
    <w:rsid w:val="00EE4A83"/>
    <w:rsid w:val="00EE6504"/>
    <w:rsid w:val="00EF3434"/>
    <w:rsid w:val="00EF4481"/>
    <w:rsid w:val="00EF4683"/>
    <w:rsid w:val="00F00231"/>
    <w:rsid w:val="00F04D8A"/>
    <w:rsid w:val="00F056F6"/>
    <w:rsid w:val="00F13857"/>
    <w:rsid w:val="00F169C8"/>
    <w:rsid w:val="00F16B1C"/>
    <w:rsid w:val="00F1715A"/>
    <w:rsid w:val="00F201AF"/>
    <w:rsid w:val="00F21407"/>
    <w:rsid w:val="00F21C62"/>
    <w:rsid w:val="00F26BF5"/>
    <w:rsid w:val="00F271B6"/>
    <w:rsid w:val="00F4139C"/>
    <w:rsid w:val="00F42E75"/>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6E83"/>
    <w:rsid w:val="00FA16DF"/>
    <w:rsid w:val="00FA2845"/>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BF838"/>
  <w15:chartTrackingRefBased/>
  <w15:docId w15:val="{F3689F3E-7807-4C40-8F8A-6CC4ED23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304"/>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 w:type="paragraph" w:customStyle="1" w:styleId="TableNo">
    <w:name w:val="Table_No"/>
    <w:basedOn w:val="Normal"/>
    <w:next w:val="Normal"/>
    <w:link w:val="TableNo0"/>
    <w:rsid w:val="00D66C34"/>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Batang" w:hAnsi="Times New Roman" w:cs="Times New Roman"/>
      <w:sz w:val="24"/>
      <w:szCs w:val="20"/>
      <w:lang w:val="fr-FR"/>
    </w:rPr>
  </w:style>
  <w:style w:type="character" w:customStyle="1" w:styleId="TableNo0">
    <w:name w:val="Table_No Знак"/>
    <w:link w:val="TableNo"/>
    <w:locked/>
    <w:rsid w:val="00D66C34"/>
    <w:rPr>
      <w:rFonts w:ascii="Times New Roman" w:eastAsia="Batang"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193353421">
      <w:bodyDiv w:val="1"/>
      <w:marLeft w:val="0"/>
      <w:marRight w:val="0"/>
      <w:marTop w:val="0"/>
      <w:marBottom w:val="0"/>
      <w:divBdr>
        <w:top w:val="none" w:sz="0" w:space="0" w:color="auto"/>
        <w:left w:val="none" w:sz="0" w:space="0" w:color="auto"/>
        <w:bottom w:val="none" w:sz="0" w:space="0" w:color="auto"/>
        <w:right w:val="none" w:sz="0" w:space="0" w:color="auto"/>
      </w:divBdr>
    </w:div>
    <w:div w:id="220219250">
      <w:bodyDiv w:val="1"/>
      <w:marLeft w:val="0"/>
      <w:marRight w:val="0"/>
      <w:marTop w:val="0"/>
      <w:marBottom w:val="0"/>
      <w:divBdr>
        <w:top w:val="none" w:sz="0" w:space="0" w:color="auto"/>
        <w:left w:val="none" w:sz="0" w:space="0" w:color="auto"/>
        <w:bottom w:val="none" w:sz="0" w:space="0" w:color="auto"/>
        <w:right w:val="none" w:sz="0" w:space="0" w:color="auto"/>
      </w:divBdr>
    </w:div>
    <w:div w:id="244264748">
      <w:bodyDiv w:val="1"/>
      <w:marLeft w:val="0"/>
      <w:marRight w:val="0"/>
      <w:marTop w:val="0"/>
      <w:marBottom w:val="0"/>
      <w:divBdr>
        <w:top w:val="none" w:sz="0" w:space="0" w:color="auto"/>
        <w:left w:val="none" w:sz="0" w:space="0" w:color="auto"/>
        <w:bottom w:val="none" w:sz="0" w:space="0" w:color="auto"/>
        <w:right w:val="none" w:sz="0" w:space="0" w:color="auto"/>
      </w:divBdr>
    </w:div>
    <w:div w:id="298655681">
      <w:bodyDiv w:val="1"/>
      <w:marLeft w:val="0"/>
      <w:marRight w:val="0"/>
      <w:marTop w:val="0"/>
      <w:marBottom w:val="0"/>
      <w:divBdr>
        <w:top w:val="none" w:sz="0" w:space="0" w:color="auto"/>
        <w:left w:val="none" w:sz="0" w:space="0" w:color="auto"/>
        <w:bottom w:val="none" w:sz="0" w:space="0" w:color="auto"/>
        <w:right w:val="none" w:sz="0" w:space="0" w:color="auto"/>
      </w:divBdr>
    </w:div>
    <w:div w:id="358744662">
      <w:bodyDiv w:val="1"/>
      <w:marLeft w:val="0"/>
      <w:marRight w:val="0"/>
      <w:marTop w:val="0"/>
      <w:marBottom w:val="0"/>
      <w:divBdr>
        <w:top w:val="none" w:sz="0" w:space="0" w:color="auto"/>
        <w:left w:val="none" w:sz="0" w:space="0" w:color="auto"/>
        <w:bottom w:val="none" w:sz="0" w:space="0" w:color="auto"/>
        <w:right w:val="none" w:sz="0" w:space="0" w:color="auto"/>
      </w:divBdr>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835614312">
      <w:bodyDiv w:val="1"/>
      <w:marLeft w:val="0"/>
      <w:marRight w:val="0"/>
      <w:marTop w:val="0"/>
      <w:marBottom w:val="0"/>
      <w:divBdr>
        <w:top w:val="none" w:sz="0" w:space="0" w:color="auto"/>
        <w:left w:val="none" w:sz="0" w:space="0" w:color="auto"/>
        <w:bottom w:val="none" w:sz="0" w:space="0" w:color="auto"/>
        <w:right w:val="none" w:sz="0" w:space="0" w:color="auto"/>
      </w:divBdr>
    </w:div>
    <w:div w:id="962536329">
      <w:bodyDiv w:val="1"/>
      <w:marLeft w:val="0"/>
      <w:marRight w:val="0"/>
      <w:marTop w:val="0"/>
      <w:marBottom w:val="0"/>
      <w:divBdr>
        <w:top w:val="none" w:sz="0" w:space="0" w:color="auto"/>
        <w:left w:val="none" w:sz="0" w:space="0" w:color="auto"/>
        <w:bottom w:val="none" w:sz="0" w:space="0" w:color="auto"/>
        <w:right w:val="none" w:sz="0" w:space="0" w:color="auto"/>
      </w:divBdr>
    </w:div>
    <w:div w:id="995693383">
      <w:bodyDiv w:val="1"/>
      <w:marLeft w:val="0"/>
      <w:marRight w:val="0"/>
      <w:marTop w:val="0"/>
      <w:marBottom w:val="0"/>
      <w:divBdr>
        <w:top w:val="none" w:sz="0" w:space="0" w:color="auto"/>
        <w:left w:val="none" w:sz="0" w:space="0" w:color="auto"/>
        <w:bottom w:val="none" w:sz="0" w:space="0" w:color="auto"/>
        <w:right w:val="none" w:sz="0" w:space="0" w:color="auto"/>
      </w:divBdr>
    </w:div>
    <w:div w:id="1058363808">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256329698">
      <w:bodyDiv w:val="1"/>
      <w:marLeft w:val="0"/>
      <w:marRight w:val="0"/>
      <w:marTop w:val="0"/>
      <w:marBottom w:val="0"/>
      <w:divBdr>
        <w:top w:val="none" w:sz="0" w:space="0" w:color="auto"/>
        <w:left w:val="none" w:sz="0" w:space="0" w:color="auto"/>
        <w:bottom w:val="none" w:sz="0" w:space="0" w:color="auto"/>
        <w:right w:val="none" w:sz="0" w:space="0" w:color="auto"/>
      </w:divBdr>
    </w:div>
    <w:div w:id="1282111574">
      <w:bodyDiv w:val="1"/>
      <w:marLeft w:val="0"/>
      <w:marRight w:val="0"/>
      <w:marTop w:val="0"/>
      <w:marBottom w:val="0"/>
      <w:divBdr>
        <w:top w:val="none" w:sz="0" w:space="0" w:color="auto"/>
        <w:left w:val="none" w:sz="0" w:space="0" w:color="auto"/>
        <w:bottom w:val="none" w:sz="0" w:space="0" w:color="auto"/>
        <w:right w:val="none" w:sz="0" w:space="0" w:color="auto"/>
      </w:divBdr>
      <w:divsChild>
        <w:div w:id="2080664262">
          <w:marLeft w:val="547"/>
          <w:marRight w:val="0"/>
          <w:marTop w:val="115"/>
          <w:marBottom w:val="0"/>
          <w:divBdr>
            <w:top w:val="none" w:sz="0" w:space="0" w:color="auto"/>
            <w:left w:val="none" w:sz="0" w:space="0" w:color="auto"/>
            <w:bottom w:val="none" w:sz="0" w:space="0" w:color="auto"/>
            <w:right w:val="none" w:sz="0" w:space="0" w:color="auto"/>
          </w:divBdr>
        </w:div>
        <w:div w:id="1098603512">
          <w:marLeft w:val="1166"/>
          <w:marRight w:val="0"/>
          <w:marTop w:val="86"/>
          <w:marBottom w:val="0"/>
          <w:divBdr>
            <w:top w:val="none" w:sz="0" w:space="0" w:color="auto"/>
            <w:left w:val="none" w:sz="0" w:space="0" w:color="auto"/>
            <w:bottom w:val="none" w:sz="0" w:space="0" w:color="auto"/>
            <w:right w:val="none" w:sz="0" w:space="0" w:color="auto"/>
          </w:divBdr>
        </w:div>
        <w:div w:id="123013603">
          <w:marLeft w:val="1166"/>
          <w:marRight w:val="0"/>
          <w:marTop w:val="86"/>
          <w:marBottom w:val="0"/>
          <w:divBdr>
            <w:top w:val="none" w:sz="0" w:space="0" w:color="auto"/>
            <w:left w:val="none" w:sz="0" w:space="0" w:color="auto"/>
            <w:bottom w:val="none" w:sz="0" w:space="0" w:color="auto"/>
            <w:right w:val="none" w:sz="0" w:space="0" w:color="auto"/>
          </w:divBdr>
        </w:div>
      </w:divsChild>
    </w:div>
    <w:div w:id="1304890022">
      <w:bodyDiv w:val="1"/>
      <w:marLeft w:val="0"/>
      <w:marRight w:val="0"/>
      <w:marTop w:val="0"/>
      <w:marBottom w:val="0"/>
      <w:divBdr>
        <w:top w:val="none" w:sz="0" w:space="0" w:color="auto"/>
        <w:left w:val="none" w:sz="0" w:space="0" w:color="auto"/>
        <w:bottom w:val="none" w:sz="0" w:space="0" w:color="auto"/>
        <w:right w:val="none" w:sz="0" w:space="0" w:color="auto"/>
      </w:divBdr>
      <w:divsChild>
        <w:div w:id="1689987054">
          <w:marLeft w:val="547"/>
          <w:marRight w:val="0"/>
          <w:marTop w:val="115"/>
          <w:marBottom w:val="0"/>
          <w:divBdr>
            <w:top w:val="none" w:sz="0" w:space="0" w:color="auto"/>
            <w:left w:val="none" w:sz="0" w:space="0" w:color="auto"/>
            <w:bottom w:val="none" w:sz="0" w:space="0" w:color="auto"/>
            <w:right w:val="none" w:sz="0" w:space="0" w:color="auto"/>
          </w:divBdr>
        </w:div>
        <w:div w:id="698166606">
          <w:marLeft w:val="1166"/>
          <w:marRight w:val="0"/>
          <w:marTop w:val="86"/>
          <w:marBottom w:val="0"/>
          <w:divBdr>
            <w:top w:val="none" w:sz="0" w:space="0" w:color="auto"/>
            <w:left w:val="none" w:sz="0" w:space="0" w:color="auto"/>
            <w:bottom w:val="none" w:sz="0" w:space="0" w:color="auto"/>
            <w:right w:val="none" w:sz="0" w:space="0" w:color="auto"/>
          </w:divBdr>
        </w:div>
        <w:div w:id="191189256">
          <w:marLeft w:val="547"/>
          <w:marRight w:val="0"/>
          <w:marTop w:val="115"/>
          <w:marBottom w:val="0"/>
          <w:divBdr>
            <w:top w:val="none" w:sz="0" w:space="0" w:color="auto"/>
            <w:left w:val="none" w:sz="0" w:space="0" w:color="auto"/>
            <w:bottom w:val="none" w:sz="0" w:space="0" w:color="auto"/>
            <w:right w:val="none" w:sz="0" w:space="0" w:color="auto"/>
          </w:divBdr>
        </w:div>
      </w:divsChild>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450588573">
      <w:bodyDiv w:val="1"/>
      <w:marLeft w:val="0"/>
      <w:marRight w:val="0"/>
      <w:marTop w:val="0"/>
      <w:marBottom w:val="0"/>
      <w:divBdr>
        <w:top w:val="none" w:sz="0" w:space="0" w:color="auto"/>
        <w:left w:val="none" w:sz="0" w:space="0" w:color="auto"/>
        <w:bottom w:val="none" w:sz="0" w:space="0" w:color="auto"/>
        <w:right w:val="none" w:sz="0" w:space="0" w:color="auto"/>
      </w:divBdr>
    </w:div>
    <w:div w:id="146724234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25636370">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759711012">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cp:revision>
  <dcterms:created xsi:type="dcterms:W3CDTF">2018-02-18T21:20:00Z</dcterms:created>
  <dcterms:modified xsi:type="dcterms:W3CDTF">2018-02-18T21:20:00Z</dcterms:modified>
</cp:coreProperties>
</file>